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BF" w:rsidRDefault="006552BF" w:rsidP="006552BF">
      <w:pPr>
        <w:spacing w:line="560" w:lineRule="exact"/>
        <w:jc w:val="center"/>
        <w:rPr>
          <w:rFonts w:eastAsia="仿宋_GB2312"/>
          <w:sz w:val="32"/>
          <w:szCs w:val="32"/>
        </w:rPr>
      </w:pPr>
      <w:r>
        <w:rPr>
          <w:rFonts w:ascii="方正小标宋简体" w:eastAsia="方正小标宋简体" w:cs="Times New Roman" w:hint="eastAsia"/>
          <w:b/>
          <w:sz w:val="44"/>
          <w:szCs w:val="44"/>
        </w:rPr>
        <w:t>香河县</w:t>
      </w:r>
      <w:r w:rsidR="008403F5">
        <w:rPr>
          <w:rFonts w:ascii="方正小标宋简体" w:eastAsia="方正小标宋简体" w:cs="Times New Roman" w:hint="eastAsia"/>
          <w:b/>
          <w:sz w:val="44"/>
          <w:szCs w:val="44"/>
        </w:rPr>
        <w:t>信访局</w:t>
      </w:r>
      <w:r>
        <w:rPr>
          <w:rFonts w:ascii="方正小标宋简体" w:eastAsia="方正小标宋简体" w:cs="Times New Roman" w:hint="eastAsia"/>
          <w:b/>
          <w:sz w:val="44"/>
          <w:szCs w:val="44"/>
        </w:rPr>
        <w:t>2016年度部门决算信息公开情况</w:t>
      </w:r>
    </w:p>
    <w:p w:rsidR="006552BF" w:rsidRDefault="006552BF" w:rsidP="006552BF">
      <w:pPr>
        <w:widowControl/>
        <w:spacing w:line="560" w:lineRule="exact"/>
        <w:ind w:firstLineChars="200" w:firstLine="640"/>
        <w:jc w:val="left"/>
        <w:rPr>
          <w:rFonts w:eastAsia="仿宋_GB2312"/>
          <w:sz w:val="32"/>
          <w:szCs w:val="32"/>
        </w:rPr>
      </w:pPr>
    </w:p>
    <w:p w:rsidR="006552BF" w:rsidRPr="006552BF" w:rsidRDefault="006552BF" w:rsidP="006552BF">
      <w:pPr>
        <w:widowControl/>
        <w:spacing w:line="560" w:lineRule="exact"/>
        <w:ind w:firstLineChars="200" w:firstLine="640"/>
        <w:jc w:val="left"/>
        <w:rPr>
          <w:rFonts w:ascii="仿宋" w:eastAsia="仿宋" w:hAnsi="仿宋"/>
          <w:sz w:val="32"/>
          <w:szCs w:val="32"/>
        </w:rPr>
      </w:pPr>
      <w:r w:rsidRPr="006552BF">
        <w:rPr>
          <w:rFonts w:ascii="仿宋" w:eastAsia="仿宋" w:hAnsi="仿宋" w:cs="Times New Roman"/>
          <w:sz w:val="32"/>
          <w:szCs w:val="32"/>
        </w:rPr>
        <w:t>按照《预算法》、《河北省财政厅关于印发&lt;河北省预决算公开操作规程实施细则&gt;的通知》（冀财预﹝2016﹞129号）等规定，现将2016年部门决算公开如下：</w:t>
      </w:r>
    </w:p>
    <w:p w:rsidR="0048020F" w:rsidRPr="00C24BF5" w:rsidRDefault="0048020F" w:rsidP="00F66032">
      <w:pPr>
        <w:ind w:firstLine="640"/>
        <w:rPr>
          <w:rFonts w:ascii="黑体" w:eastAsia="黑体" w:hAnsi="黑体" w:cs="Times New Roman"/>
          <w:sz w:val="32"/>
          <w:szCs w:val="32"/>
        </w:rPr>
      </w:pPr>
      <w:r w:rsidRPr="00C24BF5">
        <w:rPr>
          <w:rFonts w:ascii="黑体" w:eastAsia="黑体" w:hAnsi="黑体" w:cs="Times New Roman" w:hint="eastAsia"/>
          <w:sz w:val="32"/>
          <w:szCs w:val="32"/>
        </w:rPr>
        <w:t>一、部门职责及机构设置情况</w:t>
      </w:r>
    </w:p>
    <w:p w:rsidR="0048020F" w:rsidRDefault="0048020F" w:rsidP="0046769B">
      <w:pPr>
        <w:spacing w:line="500" w:lineRule="exact"/>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部门职责：</w:t>
      </w:r>
    </w:p>
    <w:p w:rsidR="008403F5" w:rsidRDefault="008403F5" w:rsidP="008403F5">
      <w:pPr>
        <w:ind w:firstLineChars="200" w:firstLine="640"/>
        <w:rPr>
          <w:rFonts w:ascii="仿宋" w:eastAsia="仿宋" w:hAnsi="仿宋"/>
          <w:sz w:val="32"/>
          <w:szCs w:val="32"/>
        </w:rPr>
      </w:pPr>
      <w:r w:rsidRPr="00137B72">
        <w:rPr>
          <w:rFonts w:ascii="仿宋" w:eastAsia="仿宋" w:hAnsi="仿宋" w:hint="eastAsia"/>
          <w:sz w:val="32"/>
          <w:szCs w:val="32"/>
        </w:rPr>
        <w:t>1、办理人民群众给县委、县政府领导同志的来信，办理上级领导机关转来的我县群</w:t>
      </w:r>
      <w:r>
        <w:rPr>
          <w:rFonts w:ascii="仿宋" w:eastAsia="仿宋" w:hAnsi="仿宋" w:hint="eastAsia"/>
          <w:sz w:val="32"/>
          <w:szCs w:val="32"/>
        </w:rPr>
        <w:t>众信件。接待要求当面向县委、县政府和领导同志反映意愿的人民群众。</w:t>
      </w:r>
    </w:p>
    <w:p w:rsidR="008403F5" w:rsidRDefault="008403F5" w:rsidP="008403F5">
      <w:pPr>
        <w:ind w:firstLineChars="200" w:firstLine="640"/>
        <w:rPr>
          <w:rFonts w:ascii="仿宋" w:eastAsia="仿宋" w:hAnsi="仿宋"/>
          <w:sz w:val="32"/>
          <w:szCs w:val="32"/>
        </w:rPr>
      </w:pPr>
      <w:r w:rsidRPr="00137B72">
        <w:rPr>
          <w:rFonts w:ascii="仿宋" w:eastAsia="仿宋" w:hAnsi="仿宋" w:hint="eastAsia"/>
          <w:sz w:val="32"/>
          <w:szCs w:val="32"/>
        </w:rPr>
        <w:t>2、办理信访案件。直接或牵头查处重要信访案件；督促、协助有关乡镇或县直部门查处上级领导机关批转交办的和县委、县政府领导同志交办的信访案件；协调有关乡镇和部门处理重大信访案件。</w:t>
      </w:r>
    </w:p>
    <w:p w:rsidR="008403F5" w:rsidRDefault="008403F5" w:rsidP="008403F5">
      <w:pPr>
        <w:ind w:firstLineChars="100" w:firstLine="320"/>
        <w:rPr>
          <w:rFonts w:ascii="仿宋" w:eastAsia="仿宋" w:hAnsi="仿宋"/>
          <w:sz w:val="32"/>
          <w:szCs w:val="32"/>
        </w:rPr>
      </w:pPr>
      <w:r>
        <w:rPr>
          <w:rFonts w:ascii="仿宋" w:eastAsia="仿宋" w:hAnsi="仿宋" w:hint="eastAsia"/>
          <w:sz w:val="32"/>
          <w:szCs w:val="32"/>
        </w:rPr>
        <w:t xml:space="preserve">  </w:t>
      </w:r>
      <w:r w:rsidRPr="00137B72">
        <w:rPr>
          <w:rFonts w:ascii="仿宋" w:eastAsia="仿宋" w:hAnsi="仿宋" w:hint="eastAsia"/>
          <w:sz w:val="32"/>
          <w:szCs w:val="32"/>
        </w:rPr>
        <w:t>3、参与处理涉及群众较多的影响政治稳定和安定的信访案件。</w:t>
      </w:r>
    </w:p>
    <w:p w:rsidR="008403F5" w:rsidRDefault="008403F5" w:rsidP="008403F5">
      <w:pPr>
        <w:ind w:firstLineChars="200" w:firstLine="640"/>
        <w:rPr>
          <w:rFonts w:ascii="仿宋" w:eastAsia="仿宋" w:hAnsi="仿宋"/>
          <w:sz w:val="32"/>
          <w:szCs w:val="32"/>
        </w:rPr>
      </w:pPr>
      <w:r w:rsidRPr="00137B72">
        <w:rPr>
          <w:rFonts w:ascii="仿宋" w:eastAsia="仿宋" w:hAnsi="仿宋" w:hint="eastAsia"/>
          <w:sz w:val="32"/>
          <w:szCs w:val="32"/>
        </w:rPr>
        <w:t>4、调查研究和综合分析全县的信访形势和信访工作现状，并向县委、县政府提出对策报告。总结信访经验，反馈信访信息。</w:t>
      </w:r>
    </w:p>
    <w:p w:rsidR="008403F5" w:rsidRDefault="008403F5" w:rsidP="008403F5">
      <w:pPr>
        <w:ind w:firstLineChars="200" w:firstLine="640"/>
        <w:rPr>
          <w:rFonts w:ascii="仿宋" w:eastAsia="仿宋" w:hAnsi="仿宋"/>
          <w:sz w:val="32"/>
          <w:szCs w:val="32"/>
        </w:rPr>
      </w:pPr>
      <w:r w:rsidRPr="00137B72">
        <w:rPr>
          <w:rFonts w:ascii="仿宋" w:eastAsia="仿宋" w:hAnsi="仿宋" w:hint="eastAsia"/>
          <w:sz w:val="32"/>
          <w:szCs w:val="32"/>
        </w:rPr>
        <w:t>5、督促和检查指导全县基层党委、政府的信访工作，搞好全县信访工作系统业务建设。</w:t>
      </w:r>
    </w:p>
    <w:p w:rsidR="008403F5" w:rsidRPr="00137B72" w:rsidRDefault="008403F5" w:rsidP="008403F5">
      <w:pPr>
        <w:ind w:firstLineChars="200" w:firstLine="640"/>
        <w:rPr>
          <w:rFonts w:ascii="仿宋" w:eastAsia="仿宋" w:hAnsi="仿宋"/>
          <w:sz w:val="32"/>
          <w:szCs w:val="32"/>
        </w:rPr>
      </w:pPr>
      <w:r w:rsidRPr="00137B72">
        <w:rPr>
          <w:rFonts w:ascii="仿宋" w:eastAsia="仿宋" w:hAnsi="仿宋" w:hint="eastAsia"/>
          <w:sz w:val="32"/>
          <w:szCs w:val="32"/>
        </w:rPr>
        <w:t>6、负责县委、县政府人民群众建议征集的日常工作。7、承办县委、县政府及领导同志交办的有关事宜。</w:t>
      </w:r>
    </w:p>
    <w:p w:rsidR="008403F5" w:rsidRPr="0052147C" w:rsidRDefault="008403F5" w:rsidP="008403F5">
      <w:pPr>
        <w:ind w:firstLineChars="200" w:firstLine="643"/>
        <w:rPr>
          <w:rFonts w:ascii="仿宋" w:eastAsia="仿宋" w:hAnsi="仿宋"/>
          <w:b/>
          <w:sz w:val="32"/>
          <w:szCs w:val="32"/>
        </w:rPr>
      </w:pPr>
      <w:r w:rsidRPr="004F6123">
        <w:rPr>
          <w:rFonts w:ascii="仿宋" w:eastAsia="仿宋" w:hAnsi="仿宋" w:hint="eastAsia"/>
          <w:b/>
          <w:sz w:val="32"/>
          <w:szCs w:val="32"/>
        </w:rPr>
        <w:lastRenderedPageBreak/>
        <w:t>机构设置：</w:t>
      </w:r>
    </w:p>
    <w:p w:rsidR="008403F5" w:rsidRPr="00F66032" w:rsidRDefault="008403F5" w:rsidP="008403F5">
      <w:pPr>
        <w:jc w:val="center"/>
        <w:outlineLvl w:val="0"/>
        <w:rPr>
          <w:rFonts w:ascii="Times New Roman" w:eastAsia="方正小标宋_GBK" w:hAnsi="Times New Roman"/>
          <w:sz w:val="32"/>
          <w:szCs w:val="24"/>
        </w:rPr>
      </w:pPr>
      <w:r w:rsidRPr="00F66032">
        <w:rPr>
          <w:rFonts w:ascii="Times New Roman" w:eastAsia="方正小标宋_GBK" w:hAnsi="Times New Roman"/>
          <w:sz w:val="32"/>
          <w:szCs w:val="24"/>
        </w:rPr>
        <w:t>部门</w:t>
      </w:r>
      <w:r w:rsidRPr="00F66032">
        <w:rPr>
          <w:rFonts w:ascii="Times New Roman" w:eastAsia="方正小标宋_GBK" w:hAnsi="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8403F5" w:rsidRPr="00137B72" w:rsidTr="000D64CD">
        <w:trPr>
          <w:trHeight w:val="300"/>
          <w:tblHeader/>
          <w:jc w:val="center"/>
        </w:trPr>
        <w:tc>
          <w:tcPr>
            <w:tcW w:w="4443" w:type="dxa"/>
            <w:vMerge w:val="restart"/>
            <w:shd w:val="clear" w:color="auto" w:fill="auto"/>
            <w:vAlign w:val="center"/>
          </w:tcPr>
          <w:p w:rsidR="008403F5" w:rsidRPr="00F66032" w:rsidRDefault="008403F5" w:rsidP="000D64CD">
            <w:pPr>
              <w:spacing w:line="300" w:lineRule="exact"/>
              <w:jc w:val="center"/>
              <w:rPr>
                <w:rFonts w:ascii="Times New Roman" w:eastAsia="方正书宋_GBK" w:hAnsi="Times New Roman"/>
                <w:b/>
                <w:szCs w:val="24"/>
              </w:rPr>
            </w:pPr>
            <w:r w:rsidRPr="00F66032">
              <w:rPr>
                <w:rFonts w:ascii="Times New Roman" w:eastAsia="方正书宋_GBK" w:hAnsi="Times New Roman"/>
                <w:b/>
                <w:szCs w:val="24"/>
              </w:rPr>
              <w:t>单位名称</w:t>
            </w:r>
          </w:p>
        </w:tc>
        <w:tc>
          <w:tcPr>
            <w:tcW w:w="1134" w:type="dxa"/>
            <w:vMerge w:val="restart"/>
            <w:shd w:val="clear" w:color="auto" w:fill="auto"/>
            <w:vAlign w:val="center"/>
          </w:tcPr>
          <w:p w:rsidR="008403F5" w:rsidRPr="00F66032" w:rsidRDefault="008403F5" w:rsidP="000D64CD">
            <w:pPr>
              <w:spacing w:line="300" w:lineRule="exact"/>
              <w:jc w:val="center"/>
              <w:rPr>
                <w:rFonts w:ascii="Times New Roman" w:eastAsia="方正书宋_GBK" w:hAnsi="Times New Roman"/>
                <w:b/>
                <w:szCs w:val="24"/>
              </w:rPr>
            </w:pPr>
            <w:r w:rsidRPr="00F66032">
              <w:rPr>
                <w:rFonts w:ascii="Times New Roman" w:eastAsia="方正书宋_GBK" w:hAnsi="Times New Roman"/>
                <w:b/>
                <w:szCs w:val="24"/>
              </w:rPr>
              <w:t>单位性质</w:t>
            </w:r>
          </w:p>
        </w:tc>
        <w:tc>
          <w:tcPr>
            <w:tcW w:w="1276" w:type="dxa"/>
            <w:vMerge w:val="restart"/>
            <w:shd w:val="clear" w:color="auto" w:fill="auto"/>
            <w:vAlign w:val="center"/>
          </w:tcPr>
          <w:p w:rsidR="008403F5" w:rsidRPr="00F66032" w:rsidRDefault="008403F5" w:rsidP="000D64CD">
            <w:pPr>
              <w:spacing w:line="300" w:lineRule="exact"/>
              <w:jc w:val="center"/>
              <w:rPr>
                <w:rFonts w:ascii="Times New Roman" w:eastAsia="方正书宋_GBK" w:hAnsi="Times New Roman"/>
                <w:b/>
                <w:szCs w:val="24"/>
              </w:rPr>
            </w:pPr>
            <w:r w:rsidRPr="00F66032">
              <w:rPr>
                <w:rFonts w:ascii="Times New Roman" w:eastAsia="方正书宋_GBK" w:hAnsi="Times New Roman"/>
                <w:b/>
                <w:szCs w:val="24"/>
              </w:rPr>
              <w:t>单位规格</w:t>
            </w:r>
          </w:p>
        </w:tc>
        <w:tc>
          <w:tcPr>
            <w:tcW w:w="2902" w:type="dxa"/>
            <w:vMerge w:val="restart"/>
            <w:shd w:val="clear" w:color="auto" w:fill="auto"/>
            <w:vAlign w:val="center"/>
          </w:tcPr>
          <w:p w:rsidR="008403F5" w:rsidRPr="00F66032" w:rsidRDefault="008403F5" w:rsidP="000D64CD">
            <w:pPr>
              <w:spacing w:line="300" w:lineRule="exact"/>
              <w:jc w:val="center"/>
              <w:rPr>
                <w:rFonts w:ascii="Times New Roman" w:eastAsia="方正书宋_GBK" w:hAnsi="Times New Roman"/>
                <w:b/>
                <w:szCs w:val="24"/>
              </w:rPr>
            </w:pPr>
            <w:r w:rsidRPr="00F66032">
              <w:rPr>
                <w:rFonts w:ascii="Times New Roman" w:eastAsia="方正书宋_GBK" w:hAnsi="Times New Roman"/>
                <w:b/>
                <w:szCs w:val="24"/>
              </w:rPr>
              <w:t>经费保障形式</w:t>
            </w:r>
          </w:p>
        </w:tc>
      </w:tr>
      <w:tr w:rsidR="008403F5" w:rsidRPr="00137B72" w:rsidTr="000D64CD">
        <w:trPr>
          <w:trHeight w:val="300"/>
          <w:tblHeader/>
          <w:jc w:val="center"/>
        </w:trPr>
        <w:tc>
          <w:tcPr>
            <w:tcW w:w="4443" w:type="dxa"/>
            <w:vMerge/>
            <w:shd w:val="clear" w:color="auto" w:fill="auto"/>
            <w:vAlign w:val="center"/>
          </w:tcPr>
          <w:p w:rsidR="008403F5" w:rsidRPr="00F66032" w:rsidRDefault="008403F5" w:rsidP="000D64CD">
            <w:pPr>
              <w:spacing w:line="300" w:lineRule="exact"/>
              <w:jc w:val="left"/>
              <w:outlineLvl w:val="0"/>
              <w:rPr>
                <w:rFonts w:ascii="Times New Roman" w:hAnsi="Times New Roman"/>
                <w:szCs w:val="24"/>
              </w:rPr>
            </w:pPr>
          </w:p>
        </w:tc>
        <w:tc>
          <w:tcPr>
            <w:tcW w:w="1134" w:type="dxa"/>
            <w:vMerge/>
            <w:shd w:val="clear" w:color="auto" w:fill="auto"/>
            <w:vAlign w:val="center"/>
          </w:tcPr>
          <w:p w:rsidR="008403F5" w:rsidRPr="00F66032" w:rsidRDefault="008403F5" w:rsidP="000D64CD">
            <w:pPr>
              <w:spacing w:line="300" w:lineRule="exact"/>
              <w:jc w:val="left"/>
              <w:outlineLvl w:val="0"/>
              <w:rPr>
                <w:rFonts w:ascii="Times New Roman" w:hAnsi="Times New Roman"/>
                <w:szCs w:val="24"/>
              </w:rPr>
            </w:pPr>
          </w:p>
        </w:tc>
        <w:tc>
          <w:tcPr>
            <w:tcW w:w="1276" w:type="dxa"/>
            <w:vMerge/>
            <w:shd w:val="clear" w:color="auto" w:fill="auto"/>
            <w:vAlign w:val="center"/>
          </w:tcPr>
          <w:p w:rsidR="008403F5" w:rsidRPr="00F66032" w:rsidRDefault="008403F5" w:rsidP="000D64CD">
            <w:pPr>
              <w:spacing w:line="300" w:lineRule="exact"/>
              <w:jc w:val="left"/>
              <w:outlineLvl w:val="0"/>
              <w:rPr>
                <w:rFonts w:ascii="Times New Roman" w:hAnsi="Times New Roman"/>
                <w:szCs w:val="24"/>
              </w:rPr>
            </w:pPr>
          </w:p>
        </w:tc>
        <w:tc>
          <w:tcPr>
            <w:tcW w:w="2902" w:type="dxa"/>
            <w:vMerge/>
            <w:shd w:val="clear" w:color="auto" w:fill="auto"/>
            <w:vAlign w:val="center"/>
          </w:tcPr>
          <w:p w:rsidR="008403F5" w:rsidRPr="00F66032" w:rsidRDefault="008403F5" w:rsidP="000D64CD">
            <w:pPr>
              <w:spacing w:line="300" w:lineRule="exact"/>
              <w:jc w:val="left"/>
              <w:outlineLvl w:val="0"/>
              <w:rPr>
                <w:rFonts w:ascii="Times New Roman" w:hAnsi="Times New Roman"/>
                <w:szCs w:val="24"/>
              </w:rPr>
            </w:pPr>
          </w:p>
        </w:tc>
      </w:tr>
      <w:tr w:rsidR="008403F5" w:rsidRPr="00137B72" w:rsidTr="000D64CD">
        <w:trPr>
          <w:trHeight w:val="227"/>
          <w:jc w:val="center"/>
        </w:trPr>
        <w:tc>
          <w:tcPr>
            <w:tcW w:w="4443"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r>
              <w:rPr>
                <w:rFonts w:ascii="Times New Roman" w:eastAsia="方正书宋_GBK" w:hAnsi="Times New Roman" w:hint="eastAsia"/>
                <w:szCs w:val="24"/>
              </w:rPr>
              <w:t>香河县信访局</w:t>
            </w:r>
          </w:p>
        </w:tc>
        <w:tc>
          <w:tcPr>
            <w:tcW w:w="1134"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r>
              <w:rPr>
                <w:rFonts w:ascii="Times New Roman" w:eastAsia="方正书宋_GBK" w:hAnsi="Times New Roman" w:hint="eastAsia"/>
                <w:szCs w:val="24"/>
              </w:rPr>
              <w:t>行政</w:t>
            </w:r>
          </w:p>
        </w:tc>
        <w:tc>
          <w:tcPr>
            <w:tcW w:w="1276"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正科级</w:t>
            </w:r>
          </w:p>
        </w:tc>
        <w:tc>
          <w:tcPr>
            <w:tcW w:w="2902"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w:t>
            </w:r>
          </w:p>
        </w:tc>
      </w:tr>
      <w:tr w:rsidR="008403F5" w:rsidRPr="00137B72" w:rsidTr="000D64CD">
        <w:trPr>
          <w:trHeight w:val="227"/>
          <w:jc w:val="center"/>
        </w:trPr>
        <w:tc>
          <w:tcPr>
            <w:tcW w:w="4443"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134"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276"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2902"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r>
      <w:tr w:rsidR="008403F5" w:rsidRPr="00137B72" w:rsidTr="000D64CD">
        <w:trPr>
          <w:trHeight w:val="227"/>
          <w:jc w:val="center"/>
        </w:trPr>
        <w:tc>
          <w:tcPr>
            <w:tcW w:w="4443"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134"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276"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2902"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r>
      <w:tr w:rsidR="008403F5" w:rsidRPr="00137B72" w:rsidTr="000D64CD">
        <w:trPr>
          <w:trHeight w:val="227"/>
          <w:jc w:val="center"/>
        </w:trPr>
        <w:tc>
          <w:tcPr>
            <w:tcW w:w="4443"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134"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276"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2902"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r>
      <w:tr w:rsidR="008403F5" w:rsidRPr="00137B72" w:rsidTr="000D64CD">
        <w:trPr>
          <w:trHeight w:val="227"/>
          <w:jc w:val="center"/>
        </w:trPr>
        <w:tc>
          <w:tcPr>
            <w:tcW w:w="4443"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134"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276"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2902"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r>
      <w:tr w:rsidR="008403F5" w:rsidRPr="00137B72" w:rsidTr="000D64CD">
        <w:trPr>
          <w:trHeight w:val="227"/>
          <w:jc w:val="center"/>
        </w:trPr>
        <w:tc>
          <w:tcPr>
            <w:tcW w:w="4443"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134"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276"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2902"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r>
      <w:tr w:rsidR="008403F5" w:rsidRPr="00137B72" w:rsidTr="000D64CD">
        <w:trPr>
          <w:trHeight w:val="227"/>
          <w:jc w:val="center"/>
        </w:trPr>
        <w:tc>
          <w:tcPr>
            <w:tcW w:w="4443"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134"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276"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2902"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r>
      <w:tr w:rsidR="008403F5" w:rsidRPr="00137B72" w:rsidTr="000D64CD">
        <w:trPr>
          <w:trHeight w:val="227"/>
          <w:jc w:val="center"/>
        </w:trPr>
        <w:tc>
          <w:tcPr>
            <w:tcW w:w="4443" w:type="dxa"/>
            <w:shd w:val="clear" w:color="auto" w:fill="auto"/>
            <w:vAlign w:val="center"/>
          </w:tcPr>
          <w:p w:rsidR="008403F5" w:rsidRPr="002D1476" w:rsidRDefault="008403F5" w:rsidP="000D64CD">
            <w:pPr>
              <w:spacing w:line="300" w:lineRule="exact"/>
              <w:jc w:val="left"/>
              <w:rPr>
                <w:rFonts w:ascii="Times New Roman" w:eastAsia="方正书宋_GBK" w:hAnsi="Times New Roman"/>
                <w:szCs w:val="24"/>
              </w:rPr>
            </w:pPr>
          </w:p>
        </w:tc>
        <w:tc>
          <w:tcPr>
            <w:tcW w:w="1134"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1276"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c>
          <w:tcPr>
            <w:tcW w:w="2902" w:type="dxa"/>
            <w:shd w:val="clear" w:color="auto" w:fill="auto"/>
            <w:vAlign w:val="center"/>
          </w:tcPr>
          <w:p w:rsidR="008403F5" w:rsidRPr="00F66032" w:rsidRDefault="008403F5" w:rsidP="000D64CD">
            <w:pPr>
              <w:spacing w:line="300" w:lineRule="exact"/>
              <w:jc w:val="left"/>
              <w:rPr>
                <w:rFonts w:ascii="Times New Roman" w:eastAsia="方正书宋_GBK" w:hAnsi="Times New Roman"/>
                <w:szCs w:val="24"/>
              </w:rPr>
            </w:pPr>
          </w:p>
        </w:tc>
      </w:tr>
    </w:tbl>
    <w:p w:rsidR="0048020F" w:rsidRPr="006E4D92" w:rsidRDefault="0048020F" w:rsidP="007E1DA8">
      <w:pPr>
        <w:ind w:firstLine="640"/>
        <w:rPr>
          <w:rFonts w:ascii="宋体" w:cs="Times New Roman"/>
          <w:sz w:val="32"/>
          <w:szCs w:val="32"/>
        </w:rPr>
      </w:pPr>
    </w:p>
    <w:p w:rsidR="006552BF" w:rsidRDefault="006552BF" w:rsidP="006552BF">
      <w:pPr>
        <w:widowControl/>
        <w:spacing w:line="560" w:lineRule="exact"/>
        <w:ind w:firstLineChars="200" w:firstLine="640"/>
        <w:jc w:val="left"/>
        <w:rPr>
          <w:rFonts w:eastAsia="黑体"/>
          <w:sz w:val="32"/>
          <w:szCs w:val="32"/>
        </w:rPr>
      </w:pPr>
      <w:r>
        <w:rPr>
          <w:rFonts w:eastAsia="黑体" w:cs="Times New Roman"/>
          <w:sz w:val="32"/>
          <w:szCs w:val="32"/>
        </w:rPr>
        <w:t>二、部门决算报表</w:t>
      </w:r>
    </w:p>
    <w:p w:rsidR="00EE7D81" w:rsidRPr="005E28EA" w:rsidRDefault="006552BF" w:rsidP="00EE7D81">
      <w:pPr>
        <w:spacing w:line="560" w:lineRule="exact"/>
        <w:ind w:firstLine="640"/>
        <w:rPr>
          <w:rFonts w:eastAsia="仿宋_GB2312" w:cs="Times New Roman"/>
          <w:sz w:val="32"/>
          <w:szCs w:val="32"/>
        </w:rPr>
      </w:pPr>
      <w:r>
        <w:rPr>
          <w:rFonts w:ascii="仿宋_GB2312" w:eastAsia="仿宋_GB2312" w:cs="Times New Roman" w:hint="eastAsia"/>
          <w:sz w:val="28"/>
          <w:szCs w:val="28"/>
        </w:rPr>
        <w:t>见</w:t>
      </w:r>
      <w:r w:rsidR="002119AA">
        <w:rPr>
          <w:rFonts w:ascii="仿宋_GB2312" w:eastAsia="仿宋_GB2312" w:cs="Times New Roman" w:hint="eastAsia"/>
          <w:sz w:val="28"/>
          <w:szCs w:val="28"/>
        </w:rPr>
        <w:t>信访局</w:t>
      </w:r>
      <w:r>
        <w:rPr>
          <w:rFonts w:ascii="仿宋_GB2312" w:eastAsia="仿宋_GB2312" w:cs="Times New Roman" w:hint="eastAsia"/>
          <w:sz w:val="28"/>
          <w:szCs w:val="28"/>
        </w:rPr>
        <w:t>2016年部门决算公开情况表</w:t>
      </w:r>
    </w:p>
    <w:p w:rsidR="00EE7D81" w:rsidRPr="0017693C" w:rsidRDefault="00EE7D81" w:rsidP="00EE7D81">
      <w:pPr>
        <w:spacing w:line="560" w:lineRule="exact"/>
        <w:ind w:firstLine="640"/>
        <w:rPr>
          <w:rFonts w:ascii="黑体" w:eastAsia="黑体" w:hAnsi="黑体" w:cs="Times New Roman"/>
          <w:sz w:val="32"/>
          <w:szCs w:val="32"/>
        </w:rPr>
      </w:pPr>
      <w:r w:rsidRPr="0017693C">
        <w:rPr>
          <w:rFonts w:ascii="黑体" w:eastAsia="黑体" w:hAnsi="黑体" w:cs="Times New Roman"/>
          <w:sz w:val="32"/>
          <w:szCs w:val="32"/>
        </w:rPr>
        <w:t>三、2016年度部门决算情况说明</w:t>
      </w:r>
    </w:p>
    <w:p w:rsidR="00EE7D81" w:rsidRPr="005E28EA" w:rsidRDefault="00EE7D81" w:rsidP="00EE7D81">
      <w:pPr>
        <w:snapToGrid w:val="0"/>
        <w:spacing w:line="560" w:lineRule="exact"/>
        <w:ind w:firstLine="640"/>
        <w:rPr>
          <w:rFonts w:eastAsia="仿宋_GB2312" w:cs="Times New Roman"/>
          <w:sz w:val="32"/>
          <w:szCs w:val="32"/>
        </w:rPr>
      </w:pPr>
      <w:r w:rsidRPr="005E28EA">
        <w:rPr>
          <w:rFonts w:eastAsia="仿宋_GB2312" w:cs="Times New Roman" w:hint="eastAsia"/>
          <w:sz w:val="32"/>
          <w:szCs w:val="32"/>
        </w:rPr>
        <w:t>我单位为</w:t>
      </w:r>
      <w:r>
        <w:rPr>
          <w:rFonts w:eastAsia="仿宋_GB2312" w:cs="Times New Roman" w:hint="eastAsia"/>
          <w:sz w:val="32"/>
          <w:szCs w:val="32"/>
        </w:rPr>
        <w:t>1</w:t>
      </w:r>
      <w:r>
        <w:rPr>
          <w:rFonts w:eastAsia="仿宋_GB2312" w:cs="Times New Roman" w:hint="eastAsia"/>
          <w:sz w:val="32"/>
          <w:szCs w:val="32"/>
        </w:rPr>
        <w:t>级预算单位，无下属单位，无汇总决算。</w:t>
      </w:r>
    </w:p>
    <w:p w:rsidR="006552BF" w:rsidRDefault="006552BF" w:rsidP="006552BF">
      <w:pPr>
        <w:widowControl/>
        <w:spacing w:line="560" w:lineRule="exact"/>
        <w:ind w:firstLineChars="200" w:firstLine="640"/>
        <w:jc w:val="left"/>
        <w:rPr>
          <w:rFonts w:ascii="楷体_GB2312" w:eastAsia="楷体_GB2312"/>
          <w:b/>
          <w:sz w:val="32"/>
          <w:szCs w:val="32"/>
        </w:rPr>
      </w:pPr>
      <w:r>
        <w:rPr>
          <w:rFonts w:ascii="楷体_GB2312" w:eastAsia="楷体_GB2312" w:cs="Times New Roman"/>
          <w:b/>
          <w:sz w:val="32"/>
          <w:szCs w:val="32"/>
        </w:rPr>
        <w:t>（一）收入支出决算总体情况说明</w:t>
      </w:r>
    </w:p>
    <w:p w:rsidR="006552BF" w:rsidRDefault="006552BF" w:rsidP="006552BF">
      <w:pPr>
        <w:snapToGrid w:val="0"/>
        <w:spacing w:line="560" w:lineRule="exact"/>
        <w:ind w:firstLine="640"/>
        <w:rPr>
          <w:rFonts w:eastAsia="仿宋_GB2312"/>
          <w:sz w:val="32"/>
          <w:szCs w:val="32"/>
        </w:rPr>
      </w:pPr>
      <w:r>
        <w:rPr>
          <w:rFonts w:eastAsia="仿宋_GB2312" w:cs="Times New Roman"/>
          <w:sz w:val="32"/>
          <w:szCs w:val="32"/>
        </w:rPr>
        <w:t>反映本部门综合收支情况。</w:t>
      </w:r>
      <w:r>
        <w:rPr>
          <w:rFonts w:eastAsia="仿宋_GB2312" w:cs="Times New Roman" w:hint="eastAsia"/>
          <w:sz w:val="32"/>
          <w:szCs w:val="32"/>
        </w:rPr>
        <w:t>2016</w:t>
      </w:r>
      <w:r>
        <w:rPr>
          <w:rFonts w:eastAsia="仿宋_GB2312" w:cs="Times New Roman" w:hint="eastAsia"/>
          <w:sz w:val="32"/>
          <w:szCs w:val="32"/>
        </w:rPr>
        <w:t>年度收入</w:t>
      </w:r>
      <w:r w:rsidR="002119AA">
        <w:rPr>
          <w:rFonts w:eastAsia="仿宋_GB2312" w:cs="Times New Roman" w:hint="eastAsia"/>
          <w:sz w:val="32"/>
          <w:szCs w:val="32"/>
        </w:rPr>
        <w:t>460.12</w:t>
      </w:r>
      <w:r>
        <w:rPr>
          <w:rFonts w:eastAsia="仿宋_GB2312" w:cs="Times New Roman" w:hint="eastAsia"/>
          <w:sz w:val="32"/>
          <w:szCs w:val="32"/>
        </w:rPr>
        <w:t>万元，</w:t>
      </w:r>
      <w:r w:rsidR="006E7755">
        <w:rPr>
          <w:rFonts w:eastAsia="仿宋_GB2312" w:cs="Times New Roman" w:hint="eastAsia"/>
          <w:sz w:val="32"/>
          <w:szCs w:val="32"/>
        </w:rPr>
        <w:t>其中</w:t>
      </w:r>
      <w:r w:rsidR="00C9305D">
        <w:rPr>
          <w:rFonts w:eastAsia="仿宋_GB2312" w:cs="Times New Roman" w:hint="eastAsia"/>
          <w:sz w:val="32"/>
          <w:szCs w:val="32"/>
        </w:rPr>
        <w:t>：</w:t>
      </w:r>
      <w:r w:rsidR="006E7755">
        <w:rPr>
          <w:rFonts w:eastAsia="仿宋_GB2312" w:cs="Times New Roman" w:hint="eastAsia"/>
          <w:sz w:val="32"/>
          <w:szCs w:val="32"/>
        </w:rPr>
        <w:t>财政拨款收入</w:t>
      </w:r>
      <w:r w:rsidR="006E7755">
        <w:rPr>
          <w:rFonts w:eastAsia="仿宋_GB2312" w:cs="Times New Roman" w:hint="eastAsia"/>
          <w:sz w:val="32"/>
          <w:szCs w:val="32"/>
        </w:rPr>
        <w:t>442.12</w:t>
      </w:r>
      <w:r w:rsidR="006E7755">
        <w:rPr>
          <w:rFonts w:eastAsia="仿宋_GB2312" w:cs="Times New Roman" w:hint="eastAsia"/>
          <w:sz w:val="32"/>
          <w:szCs w:val="32"/>
        </w:rPr>
        <w:t>万元，其他收入</w:t>
      </w:r>
      <w:r w:rsidR="006E7755">
        <w:rPr>
          <w:rFonts w:eastAsia="仿宋_GB2312" w:cs="Times New Roman" w:hint="eastAsia"/>
          <w:sz w:val="32"/>
          <w:szCs w:val="32"/>
        </w:rPr>
        <w:t>18</w:t>
      </w:r>
      <w:r w:rsidR="006E7755">
        <w:rPr>
          <w:rFonts w:eastAsia="仿宋_GB2312" w:cs="Times New Roman" w:hint="eastAsia"/>
          <w:sz w:val="32"/>
          <w:szCs w:val="32"/>
        </w:rPr>
        <w:t>万元，</w:t>
      </w:r>
      <w:r>
        <w:rPr>
          <w:rFonts w:eastAsia="仿宋_GB2312" w:cs="Times New Roman" w:hint="eastAsia"/>
          <w:sz w:val="32"/>
          <w:szCs w:val="32"/>
        </w:rPr>
        <w:t>年初结转和结余资金</w:t>
      </w:r>
      <w:r w:rsidR="002119AA">
        <w:rPr>
          <w:rFonts w:eastAsia="仿宋_GB2312" w:cs="Times New Roman" w:hint="eastAsia"/>
          <w:sz w:val="32"/>
          <w:szCs w:val="32"/>
        </w:rPr>
        <w:t>64.02</w:t>
      </w:r>
      <w:r>
        <w:rPr>
          <w:rFonts w:eastAsia="仿宋_GB2312" w:cs="Times New Roman" w:hint="eastAsia"/>
          <w:sz w:val="32"/>
          <w:szCs w:val="32"/>
        </w:rPr>
        <w:t>万元。支出</w:t>
      </w:r>
      <w:r w:rsidR="002119AA">
        <w:rPr>
          <w:rFonts w:eastAsia="仿宋_GB2312" w:cs="Times New Roman" w:hint="eastAsia"/>
          <w:sz w:val="32"/>
          <w:szCs w:val="32"/>
        </w:rPr>
        <w:t>476.98</w:t>
      </w:r>
      <w:r>
        <w:rPr>
          <w:rFonts w:eastAsia="仿宋_GB2312" w:cs="Times New Roman" w:hint="eastAsia"/>
          <w:sz w:val="32"/>
          <w:szCs w:val="32"/>
        </w:rPr>
        <w:t>万元，其中一般公共服务支出</w:t>
      </w:r>
      <w:r w:rsidR="002119AA">
        <w:rPr>
          <w:rFonts w:eastAsia="仿宋_GB2312" w:cs="Times New Roman" w:hint="eastAsia"/>
          <w:sz w:val="32"/>
          <w:szCs w:val="32"/>
        </w:rPr>
        <w:t>466.32</w:t>
      </w:r>
      <w:r>
        <w:rPr>
          <w:rFonts w:eastAsia="仿宋_GB2312" w:cs="Times New Roman" w:hint="eastAsia"/>
          <w:sz w:val="32"/>
          <w:szCs w:val="32"/>
        </w:rPr>
        <w:t>万元，住房保障支出</w:t>
      </w:r>
      <w:r w:rsidR="002119AA">
        <w:rPr>
          <w:rFonts w:eastAsia="仿宋_GB2312" w:cs="Times New Roman" w:hint="eastAsia"/>
          <w:sz w:val="32"/>
          <w:szCs w:val="32"/>
        </w:rPr>
        <w:t>10.66</w:t>
      </w:r>
      <w:r>
        <w:rPr>
          <w:rFonts w:eastAsia="仿宋_GB2312" w:cs="Times New Roman" w:hint="eastAsia"/>
          <w:sz w:val="32"/>
          <w:szCs w:val="32"/>
        </w:rPr>
        <w:t>万元。</w:t>
      </w:r>
      <w:r w:rsidR="00A71168">
        <w:rPr>
          <w:rFonts w:eastAsia="仿宋_GB2312" w:cs="Times New Roman" w:hint="eastAsia"/>
          <w:sz w:val="32"/>
          <w:szCs w:val="32"/>
        </w:rPr>
        <w:t>年末结转和结余资金</w:t>
      </w:r>
      <w:r w:rsidR="00A71168">
        <w:rPr>
          <w:rFonts w:eastAsia="仿宋_GB2312" w:cs="Times New Roman" w:hint="eastAsia"/>
          <w:sz w:val="32"/>
          <w:szCs w:val="32"/>
        </w:rPr>
        <w:t>47.16</w:t>
      </w:r>
      <w:r w:rsidR="00A71168">
        <w:rPr>
          <w:rFonts w:eastAsia="仿宋_GB2312" w:cs="Times New Roman" w:hint="eastAsia"/>
          <w:sz w:val="32"/>
          <w:szCs w:val="32"/>
        </w:rPr>
        <w:t>万元。</w:t>
      </w:r>
    </w:p>
    <w:p w:rsidR="006552BF" w:rsidRDefault="006552BF" w:rsidP="006552BF">
      <w:pPr>
        <w:widowControl/>
        <w:spacing w:line="560" w:lineRule="exact"/>
        <w:ind w:firstLineChars="200" w:firstLine="640"/>
        <w:jc w:val="left"/>
        <w:rPr>
          <w:rFonts w:ascii="楷体_GB2312" w:eastAsia="楷体_GB2312"/>
          <w:b/>
          <w:sz w:val="32"/>
          <w:szCs w:val="32"/>
        </w:rPr>
      </w:pPr>
      <w:r>
        <w:rPr>
          <w:rFonts w:ascii="楷体_GB2312" w:eastAsia="楷体_GB2312" w:cs="Times New Roman"/>
          <w:b/>
          <w:sz w:val="32"/>
          <w:szCs w:val="32"/>
        </w:rPr>
        <w:lastRenderedPageBreak/>
        <w:t>（二）收入决算情况说明</w:t>
      </w:r>
    </w:p>
    <w:p w:rsidR="006552BF" w:rsidRDefault="006552BF" w:rsidP="006552BF">
      <w:pPr>
        <w:widowControl/>
        <w:spacing w:line="560" w:lineRule="exact"/>
        <w:ind w:firstLineChars="200" w:firstLine="640"/>
        <w:jc w:val="left"/>
        <w:rPr>
          <w:rFonts w:eastAsia="仿宋_GB2312" w:cs="Times New Roman"/>
          <w:sz w:val="32"/>
          <w:szCs w:val="32"/>
        </w:rPr>
      </w:pPr>
      <w:r>
        <w:rPr>
          <w:rFonts w:eastAsia="仿宋_GB2312" w:cs="Times New Roman"/>
          <w:sz w:val="32"/>
          <w:szCs w:val="32"/>
        </w:rPr>
        <w:t>反映本部门当年总体收入情况。</w:t>
      </w:r>
      <w:r>
        <w:rPr>
          <w:rFonts w:eastAsia="仿宋_GB2312" w:cs="Times New Roman" w:hint="eastAsia"/>
          <w:sz w:val="32"/>
          <w:szCs w:val="32"/>
        </w:rPr>
        <w:t>2016</w:t>
      </w:r>
      <w:r>
        <w:rPr>
          <w:rFonts w:eastAsia="仿宋_GB2312" w:cs="Times New Roman" w:hint="eastAsia"/>
          <w:sz w:val="32"/>
          <w:szCs w:val="32"/>
        </w:rPr>
        <w:t>年度收入</w:t>
      </w:r>
      <w:r w:rsidR="002119AA">
        <w:rPr>
          <w:rFonts w:eastAsia="仿宋_GB2312" w:cs="Times New Roman" w:hint="eastAsia"/>
          <w:sz w:val="32"/>
          <w:szCs w:val="32"/>
        </w:rPr>
        <w:t>460.12</w:t>
      </w:r>
      <w:r>
        <w:rPr>
          <w:rFonts w:eastAsia="仿宋_GB2312" w:cs="Times New Roman" w:hint="eastAsia"/>
          <w:sz w:val="32"/>
          <w:szCs w:val="32"/>
        </w:rPr>
        <w:t>万元，年初结转和结余资金</w:t>
      </w:r>
      <w:r w:rsidR="002119AA">
        <w:rPr>
          <w:rFonts w:eastAsia="仿宋_GB2312" w:cs="Times New Roman" w:hint="eastAsia"/>
          <w:sz w:val="32"/>
          <w:szCs w:val="32"/>
        </w:rPr>
        <w:t>64.02</w:t>
      </w:r>
      <w:r>
        <w:rPr>
          <w:rFonts w:eastAsia="仿宋_GB2312" w:cs="Times New Roman" w:hint="eastAsia"/>
          <w:sz w:val="32"/>
          <w:szCs w:val="32"/>
        </w:rPr>
        <w:t>万元。其中</w:t>
      </w:r>
      <w:r w:rsidR="00C9305D">
        <w:rPr>
          <w:rFonts w:eastAsia="仿宋_GB2312" w:cs="Times New Roman" w:hint="eastAsia"/>
          <w:sz w:val="32"/>
          <w:szCs w:val="32"/>
        </w:rPr>
        <w:t>行政运行</w:t>
      </w:r>
      <w:r>
        <w:rPr>
          <w:rFonts w:eastAsia="仿宋_GB2312" w:cs="Times New Roman" w:hint="eastAsia"/>
          <w:sz w:val="32"/>
          <w:szCs w:val="32"/>
        </w:rPr>
        <w:t>支出收入</w:t>
      </w:r>
      <w:r w:rsidR="00C9305D">
        <w:rPr>
          <w:rFonts w:eastAsia="仿宋_GB2312" w:cs="Times New Roman" w:hint="eastAsia"/>
          <w:sz w:val="32"/>
          <w:szCs w:val="32"/>
        </w:rPr>
        <w:t>415.38</w:t>
      </w:r>
      <w:r>
        <w:rPr>
          <w:rFonts w:eastAsia="仿宋_GB2312" w:cs="Times New Roman" w:hint="eastAsia"/>
          <w:sz w:val="32"/>
          <w:szCs w:val="32"/>
        </w:rPr>
        <w:t>万元，</w:t>
      </w:r>
      <w:r w:rsidR="00C9305D">
        <w:rPr>
          <w:rFonts w:eastAsia="仿宋_GB2312" w:cs="Times New Roman" w:hint="eastAsia"/>
          <w:sz w:val="32"/>
          <w:szCs w:val="32"/>
        </w:rPr>
        <w:t>信访事物支出收入</w:t>
      </w:r>
      <w:r w:rsidR="00C9305D">
        <w:rPr>
          <w:rFonts w:eastAsia="仿宋_GB2312" w:cs="Times New Roman" w:hint="eastAsia"/>
          <w:sz w:val="32"/>
          <w:szCs w:val="32"/>
        </w:rPr>
        <w:t>34.08</w:t>
      </w:r>
      <w:r w:rsidR="00C9305D">
        <w:rPr>
          <w:rFonts w:eastAsia="仿宋_GB2312" w:cs="Times New Roman" w:hint="eastAsia"/>
          <w:sz w:val="32"/>
          <w:szCs w:val="32"/>
        </w:rPr>
        <w:t>万元，</w:t>
      </w:r>
      <w:r>
        <w:rPr>
          <w:rFonts w:eastAsia="仿宋_GB2312" w:cs="Times New Roman" w:hint="eastAsia"/>
          <w:sz w:val="32"/>
          <w:szCs w:val="32"/>
        </w:rPr>
        <w:t>住房保障支出收入</w:t>
      </w:r>
      <w:r w:rsidR="002119AA">
        <w:rPr>
          <w:rFonts w:eastAsia="仿宋_GB2312" w:cs="Times New Roman" w:hint="eastAsia"/>
          <w:sz w:val="32"/>
          <w:szCs w:val="32"/>
        </w:rPr>
        <w:t>10.66</w:t>
      </w:r>
      <w:r>
        <w:rPr>
          <w:rFonts w:eastAsia="仿宋_GB2312" w:cs="Times New Roman" w:hint="eastAsia"/>
          <w:sz w:val="32"/>
          <w:szCs w:val="32"/>
        </w:rPr>
        <w:t>万元。</w:t>
      </w:r>
    </w:p>
    <w:p w:rsidR="00EE7D81" w:rsidRDefault="00EE7D81" w:rsidP="006552BF">
      <w:pPr>
        <w:widowControl/>
        <w:spacing w:line="560" w:lineRule="exact"/>
        <w:ind w:firstLineChars="200" w:firstLine="640"/>
        <w:jc w:val="left"/>
        <w:rPr>
          <w:rFonts w:eastAsia="仿宋_GB2312"/>
          <w:color w:val="FF0000"/>
          <w:sz w:val="32"/>
          <w:szCs w:val="32"/>
        </w:rPr>
      </w:pPr>
      <w:r>
        <w:rPr>
          <w:rFonts w:eastAsia="仿宋_GB2312" w:cs="Times New Roman" w:hint="eastAsia"/>
          <w:sz w:val="32"/>
          <w:szCs w:val="32"/>
        </w:rPr>
        <w:t>与</w:t>
      </w:r>
      <w:r>
        <w:rPr>
          <w:rFonts w:eastAsia="仿宋_GB2312" w:cs="Times New Roman" w:hint="eastAsia"/>
          <w:sz w:val="32"/>
          <w:szCs w:val="32"/>
        </w:rPr>
        <w:t>2016</w:t>
      </w:r>
      <w:r>
        <w:rPr>
          <w:rFonts w:eastAsia="仿宋_GB2312" w:cs="Times New Roman" w:hint="eastAsia"/>
          <w:sz w:val="32"/>
          <w:szCs w:val="32"/>
        </w:rPr>
        <w:t>年度预算相比，</w:t>
      </w:r>
      <w:r>
        <w:rPr>
          <w:rFonts w:eastAsia="仿宋_GB2312" w:cs="Times New Roman" w:hint="eastAsia"/>
          <w:sz w:val="32"/>
          <w:szCs w:val="32"/>
        </w:rPr>
        <w:t>2016</w:t>
      </w:r>
      <w:r>
        <w:rPr>
          <w:rFonts w:eastAsia="仿宋_GB2312" w:cs="Times New Roman" w:hint="eastAsia"/>
          <w:sz w:val="32"/>
          <w:szCs w:val="32"/>
        </w:rPr>
        <w:t>年度收入</w:t>
      </w:r>
      <w:r w:rsidR="00C9305D">
        <w:rPr>
          <w:rFonts w:eastAsia="仿宋_GB2312" w:cs="Times New Roman" w:hint="eastAsia"/>
          <w:sz w:val="32"/>
          <w:szCs w:val="32"/>
        </w:rPr>
        <w:t>与预算资金基本持平</w:t>
      </w:r>
      <w:r>
        <w:rPr>
          <w:rFonts w:eastAsia="仿宋_GB2312" w:cs="Times New Roman" w:hint="eastAsia"/>
          <w:sz w:val="32"/>
          <w:szCs w:val="32"/>
        </w:rPr>
        <w:t>。</w:t>
      </w:r>
    </w:p>
    <w:p w:rsidR="006552BF" w:rsidRDefault="006552BF" w:rsidP="006552BF">
      <w:pPr>
        <w:widowControl/>
        <w:spacing w:line="560" w:lineRule="exact"/>
        <w:ind w:firstLineChars="200" w:firstLine="640"/>
        <w:jc w:val="left"/>
        <w:rPr>
          <w:rFonts w:ascii="楷体_GB2312" w:eastAsia="楷体_GB2312"/>
          <w:b/>
          <w:sz w:val="32"/>
          <w:szCs w:val="32"/>
        </w:rPr>
      </w:pPr>
      <w:r>
        <w:rPr>
          <w:rFonts w:ascii="楷体_GB2312" w:eastAsia="楷体_GB2312" w:cs="Times New Roman"/>
          <w:b/>
          <w:sz w:val="32"/>
          <w:szCs w:val="32"/>
        </w:rPr>
        <w:t>（三）支出决算情况说明</w:t>
      </w:r>
    </w:p>
    <w:p w:rsidR="006552BF" w:rsidRDefault="006552BF" w:rsidP="006552BF">
      <w:pPr>
        <w:widowControl/>
        <w:spacing w:line="560" w:lineRule="exact"/>
        <w:ind w:firstLineChars="200" w:firstLine="640"/>
        <w:jc w:val="left"/>
        <w:rPr>
          <w:rFonts w:eastAsia="仿宋_GB2312"/>
          <w:sz w:val="32"/>
          <w:szCs w:val="32"/>
        </w:rPr>
      </w:pPr>
      <w:r>
        <w:rPr>
          <w:rFonts w:eastAsia="仿宋_GB2312" w:cs="Times New Roman"/>
          <w:sz w:val="32"/>
          <w:szCs w:val="32"/>
        </w:rPr>
        <w:t>反映本部门当年总体支出情况。</w:t>
      </w:r>
      <w:r>
        <w:rPr>
          <w:rFonts w:eastAsia="仿宋_GB2312" w:cs="Times New Roman" w:hint="eastAsia"/>
          <w:sz w:val="32"/>
          <w:szCs w:val="32"/>
        </w:rPr>
        <w:t>2016</w:t>
      </w:r>
      <w:r>
        <w:rPr>
          <w:rFonts w:eastAsia="仿宋_GB2312" w:cs="Times New Roman" w:hint="eastAsia"/>
          <w:sz w:val="32"/>
          <w:szCs w:val="32"/>
        </w:rPr>
        <w:t>年度支出</w:t>
      </w:r>
      <w:r w:rsidR="00E535E2">
        <w:rPr>
          <w:rFonts w:eastAsia="仿宋_GB2312" w:cs="Times New Roman" w:hint="eastAsia"/>
          <w:sz w:val="32"/>
          <w:szCs w:val="32"/>
        </w:rPr>
        <w:t>476.98</w:t>
      </w:r>
      <w:r>
        <w:rPr>
          <w:rFonts w:eastAsia="仿宋_GB2312" w:cs="Times New Roman" w:hint="eastAsia"/>
          <w:sz w:val="32"/>
          <w:szCs w:val="32"/>
        </w:rPr>
        <w:t>万元，其中</w:t>
      </w:r>
      <w:r w:rsidR="006725B4">
        <w:rPr>
          <w:rFonts w:eastAsia="仿宋_GB2312" w:cs="Times New Roman" w:hint="eastAsia"/>
          <w:sz w:val="32"/>
          <w:szCs w:val="32"/>
        </w:rPr>
        <w:t>行政运行</w:t>
      </w:r>
      <w:r>
        <w:rPr>
          <w:rFonts w:eastAsia="仿宋_GB2312" w:cs="Times New Roman" w:hint="eastAsia"/>
          <w:sz w:val="32"/>
          <w:szCs w:val="32"/>
        </w:rPr>
        <w:t>支出</w:t>
      </w:r>
      <w:r w:rsidR="006725B4">
        <w:rPr>
          <w:rFonts w:eastAsia="仿宋_GB2312" w:cs="Times New Roman" w:hint="eastAsia"/>
          <w:sz w:val="32"/>
          <w:szCs w:val="32"/>
        </w:rPr>
        <w:t>398.16</w:t>
      </w:r>
      <w:r>
        <w:rPr>
          <w:rFonts w:eastAsia="仿宋_GB2312" w:cs="Times New Roman" w:hint="eastAsia"/>
          <w:sz w:val="32"/>
          <w:szCs w:val="32"/>
        </w:rPr>
        <w:t>万元，</w:t>
      </w:r>
      <w:r w:rsidR="006725B4">
        <w:rPr>
          <w:rFonts w:eastAsia="仿宋_GB2312" w:cs="Times New Roman" w:hint="eastAsia"/>
          <w:sz w:val="32"/>
          <w:szCs w:val="32"/>
        </w:rPr>
        <w:t>信访事物支出</w:t>
      </w:r>
      <w:r w:rsidR="006725B4">
        <w:rPr>
          <w:rFonts w:eastAsia="仿宋_GB2312" w:cs="Times New Roman" w:hint="eastAsia"/>
          <w:sz w:val="32"/>
          <w:szCs w:val="32"/>
        </w:rPr>
        <w:t>34.08</w:t>
      </w:r>
      <w:r w:rsidR="006725B4">
        <w:rPr>
          <w:rFonts w:eastAsia="仿宋_GB2312" w:cs="Times New Roman" w:hint="eastAsia"/>
          <w:sz w:val="32"/>
          <w:szCs w:val="32"/>
        </w:rPr>
        <w:t>万元，</w:t>
      </w:r>
      <w:r>
        <w:rPr>
          <w:rFonts w:eastAsia="仿宋_GB2312" w:cs="Times New Roman" w:hint="eastAsia"/>
          <w:sz w:val="32"/>
          <w:szCs w:val="32"/>
        </w:rPr>
        <w:t>住房</w:t>
      </w:r>
      <w:r w:rsidR="006725B4">
        <w:rPr>
          <w:rFonts w:eastAsia="仿宋_GB2312" w:cs="Times New Roman" w:hint="eastAsia"/>
          <w:sz w:val="32"/>
          <w:szCs w:val="32"/>
        </w:rPr>
        <w:t>公积金</w:t>
      </w:r>
      <w:r>
        <w:rPr>
          <w:rFonts w:eastAsia="仿宋_GB2312" w:cs="Times New Roman" w:hint="eastAsia"/>
          <w:sz w:val="32"/>
          <w:szCs w:val="32"/>
        </w:rPr>
        <w:t>支出</w:t>
      </w:r>
      <w:r w:rsidR="00E535E2">
        <w:rPr>
          <w:rFonts w:eastAsia="仿宋_GB2312" w:cs="Times New Roman" w:hint="eastAsia"/>
          <w:sz w:val="32"/>
          <w:szCs w:val="32"/>
        </w:rPr>
        <w:t>10.66</w:t>
      </w:r>
      <w:r>
        <w:rPr>
          <w:rFonts w:eastAsia="仿宋_GB2312" w:cs="Times New Roman" w:hint="eastAsia"/>
          <w:sz w:val="32"/>
          <w:szCs w:val="32"/>
        </w:rPr>
        <w:t>万元。</w:t>
      </w:r>
    </w:p>
    <w:p w:rsidR="006552BF" w:rsidRDefault="006552BF" w:rsidP="006552BF">
      <w:pPr>
        <w:widowControl/>
        <w:spacing w:line="560" w:lineRule="exact"/>
        <w:ind w:firstLineChars="200" w:firstLine="640"/>
        <w:jc w:val="left"/>
        <w:rPr>
          <w:rFonts w:ascii="楷体_GB2312" w:eastAsia="楷体_GB2312"/>
          <w:b/>
          <w:sz w:val="32"/>
          <w:szCs w:val="32"/>
        </w:rPr>
      </w:pPr>
      <w:r>
        <w:rPr>
          <w:rFonts w:ascii="楷体_GB2312" w:eastAsia="楷体_GB2312" w:cs="Times New Roman"/>
          <w:b/>
          <w:sz w:val="32"/>
          <w:szCs w:val="32"/>
        </w:rPr>
        <w:t>（四）财政拨款收入支出决算总体情况说明</w:t>
      </w:r>
    </w:p>
    <w:p w:rsidR="006552BF" w:rsidRDefault="006552BF" w:rsidP="006552BF">
      <w:pPr>
        <w:snapToGrid w:val="0"/>
        <w:spacing w:line="560" w:lineRule="exact"/>
        <w:ind w:firstLine="640"/>
        <w:rPr>
          <w:rFonts w:eastAsia="仿宋_GB2312"/>
          <w:sz w:val="32"/>
          <w:szCs w:val="32"/>
        </w:rPr>
      </w:pPr>
      <w:r>
        <w:rPr>
          <w:rFonts w:eastAsia="仿宋_GB2312" w:cs="Times New Roman"/>
          <w:sz w:val="32"/>
          <w:szCs w:val="32"/>
        </w:rPr>
        <w:t>反映本部门财政拨款收支情况。</w:t>
      </w:r>
      <w:r>
        <w:rPr>
          <w:rFonts w:eastAsia="仿宋_GB2312" w:cs="Times New Roman" w:hint="eastAsia"/>
          <w:sz w:val="32"/>
          <w:szCs w:val="32"/>
        </w:rPr>
        <w:t>2016</w:t>
      </w:r>
      <w:r>
        <w:rPr>
          <w:rFonts w:eastAsia="仿宋_GB2312" w:cs="Times New Roman" w:hint="eastAsia"/>
          <w:sz w:val="32"/>
          <w:szCs w:val="32"/>
        </w:rPr>
        <w:t>年度收入</w:t>
      </w:r>
      <w:r w:rsidR="00E535E2">
        <w:rPr>
          <w:rFonts w:eastAsia="仿宋_GB2312" w:cs="Times New Roman" w:hint="eastAsia"/>
          <w:sz w:val="32"/>
          <w:szCs w:val="32"/>
        </w:rPr>
        <w:t>460.12</w:t>
      </w:r>
      <w:r>
        <w:rPr>
          <w:rFonts w:eastAsia="仿宋_GB2312" w:cs="Times New Roman" w:hint="eastAsia"/>
          <w:sz w:val="32"/>
          <w:szCs w:val="32"/>
        </w:rPr>
        <w:t>万元，年初结转和结余资金</w:t>
      </w:r>
      <w:r w:rsidR="00E535E2">
        <w:rPr>
          <w:rFonts w:eastAsia="仿宋_GB2312" w:cs="Times New Roman" w:hint="eastAsia"/>
          <w:sz w:val="32"/>
          <w:szCs w:val="32"/>
        </w:rPr>
        <w:t>64.02</w:t>
      </w:r>
      <w:r>
        <w:rPr>
          <w:rFonts w:eastAsia="仿宋_GB2312" w:cs="Times New Roman" w:hint="eastAsia"/>
          <w:sz w:val="32"/>
          <w:szCs w:val="32"/>
        </w:rPr>
        <w:t>万元。支出</w:t>
      </w:r>
      <w:r w:rsidR="00E535E2">
        <w:rPr>
          <w:rFonts w:eastAsia="仿宋_GB2312" w:cs="Times New Roman" w:hint="eastAsia"/>
          <w:sz w:val="32"/>
          <w:szCs w:val="32"/>
        </w:rPr>
        <w:t>476.98</w:t>
      </w:r>
      <w:r>
        <w:rPr>
          <w:rFonts w:eastAsia="仿宋_GB2312" w:cs="Times New Roman" w:hint="eastAsia"/>
          <w:sz w:val="32"/>
          <w:szCs w:val="32"/>
        </w:rPr>
        <w:t>万元，其中一般公共服务支出</w:t>
      </w:r>
      <w:r w:rsidR="00E535E2">
        <w:rPr>
          <w:rFonts w:eastAsia="仿宋_GB2312" w:cs="Times New Roman" w:hint="eastAsia"/>
          <w:sz w:val="32"/>
          <w:szCs w:val="32"/>
        </w:rPr>
        <w:t>466.32</w:t>
      </w:r>
      <w:r>
        <w:rPr>
          <w:rFonts w:eastAsia="仿宋_GB2312" w:cs="Times New Roman" w:hint="eastAsia"/>
          <w:sz w:val="32"/>
          <w:szCs w:val="32"/>
        </w:rPr>
        <w:t>万元，住房保障支出</w:t>
      </w:r>
      <w:r w:rsidR="00E535E2">
        <w:rPr>
          <w:rFonts w:eastAsia="仿宋_GB2312" w:cs="Times New Roman" w:hint="eastAsia"/>
          <w:sz w:val="32"/>
          <w:szCs w:val="32"/>
        </w:rPr>
        <w:t>10.66</w:t>
      </w:r>
      <w:r>
        <w:rPr>
          <w:rFonts w:eastAsia="仿宋_GB2312" w:cs="Times New Roman" w:hint="eastAsia"/>
          <w:sz w:val="32"/>
          <w:szCs w:val="32"/>
        </w:rPr>
        <w:t>万元。年末结转和结余资金</w:t>
      </w:r>
      <w:r w:rsidR="00E535E2">
        <w:rPr>
          <w:rFonts w:eastAsia="仿宋_GB2312" w:cs="Times New Roman" w:hint="eastAsia"/>
          <w:sz w:val="32"/>
          <w:szCs w:val="32"/>
        </w:rPr>
        <w:t>47.16</w:t>
      </w:r>
      <w:r w:rsidR="00E535E2">
        <w:rPr>
          <w:rFonts w:eastAsia="仿宋_GB2312" w:cs="Times New Roman" w:hint="eastAsia"/>
          <w:sz w:val="32"/>
          <w:szCs w:val="32"/>
        </w:rPr>
        <w:t>万元</w:t>
      </w:r>
      <w:r>
        <w:rPr>
          <w:rFonts w:eastAsia="仿宋_GB2312" w:cs="Times New Roman" w:hint="eastAsia"/>
          <w:sz w:val="32"/>
          <w:szCs w:val="32"/>
        </w:rPr>
        <w:t>。</w:t>
      </w:r>
    </w:p>
    <w:p w:rsidR="006552BF" w:rsidRDefault="006552BF" w:rsidP="006552BF">
      <w:pPr>
        <w:widowControl/>
        <w:spacing w:line="560" w:lineRule="exact"/>
        <w:ind w:firstLineChars="200" w:firstLine="640"/>
        <w:jc w:val="left"/>
        <w:rPr>
          <w:rFonts w:ascii="楷体_GB2312" w:eastAsia="楷体_GB2312"/>
          <w:b/>
          <w:sz w:val="32"/>
          <w:szCs w:val="32"/>
        </w:rPr>
      </w:pPr>
      <w:r>
        <w:rPr>
          <w:rFonts w:ascii="楷体_GB2312" w:eastAsia="楷体_GB2312" w:cs="Times New Roman"/>
          <w:b/>
          <w:sz w:val="32"/>
          <w:szCs w:val="32"/>
        </w:rPr>
        <w:t>（五）</w:t>
      </w:r>
      <w:r>
        <w:rPr>
          <w:rFonts w:ascii="楷体_GB2312" w:eastAsia="楷体_GB2312" w:cs="Times New Roman"/>
          <w:b/>
          <w:sz w:val="32"/>
          <w:szCs w:val="32"/>
        </w:rPr>
        <w:t>“</w:t>
      </w:r>
      <w:r>
        <w:rPr>
          <w:rFonts w:ascii="楷体_GB2312" w:eastAsia="楷体_GB2312" w:cs="Times New Roman"/>
          <w:b/>
          <w:sz w:val="32"/>
          <w:szCs w:val="32"/>
        </w:rPr>
        <w:t>三公</w:t>
      </w:r>
      <w:r>
        <w:rPr>
          <w:rFonts w:ascii="楷体_GB2312" w:eastAsia="楷体_GB2312" w:cs="Times New Roman"/>
          <w:b/>
          <w:sz w:val="32"/>
          <w:szCs w:val="32"/>
        </w:rPr>
        <w:t>”</w:t>
      </w:r>
      <w:r>
        <w:rPr>
          <w:rFonts w:ascii="楷体_GB2312" w:eastAsia="楷体_GB2312" w:cs="Times New Roman"/>
          <w:b/>
          <w:sz w:val="32"/>
          <w:szCs w:val="32"/>
        </w:rPr>
        <w:t>经费情况及增减变化原因</w:t>
      </w:r>
    </w:p>
    <w:p w:rsidR="006552BF" w:rsidRDefault="006552BF" w:rsidP="006552BF">
      <w:pPr>
        <w:widowControl/>
        <w:spacing w:line="560" w:lineRule="exact"/>
        <w:ind w:firstLineChars="200" w:firstLine="640"/>
        <w:jc w:val="left"/>
        <w:rPr>
          <w:rFonts w:eastAsia="仿宋_GB2312"/>
          <w:sz w:val="32"/>
          <w:szCs w:val="32"/>
        </w:rPr>
      </w:pPr>
      <w:r>
        <w:rPr>
          <w:rFonts w:eastAsia="仿宋_GB2312" w:cs="Times New Roman"/>
          <w:sz w:val="32"/>
          <w:szCs w:val="32"/>
        </w:rPr>
        <w:t>2016</w:t>
      </w:r>
      <w:r>
        <w:rPr>
          <w:rFonts w:eastAsia="仿宋_GB2312" w:cs="Times New Roman"/>
          <w:sz w:val="32"/>
          <w:szCs w:val="32"/>
        </w:rPr>
        <w:t>年度部门</w:t>
      </w:r>
      <w:r>
        <w:rPr>
          <w:rFonts w:eastAsia="仿宋_GB2312" w:cs="Times New Roman"/>
          <w:sz w:val="32"/>
          <w:szCs w:val="32"/>
        </w:rPr>
        <w:t>“</w:t>
      </w:r>
      <w:r>
        <w:rPr>
          <w:rFonts w:eastAsia="仿宋_GB2312" w:cs="Times New Roman"/>
          <w:sz w:val="32"/>
          <w:szCs w:val="32"/>
        </w:rPr>
        <w:t>三公</w:t>
      </w:r>
      <w:r>
        <w:rPr>
          <w:rFonts w:eastAsia="仿宋_GB2312" w:cs="Times New Roman"/>
          <w:sz w:val="32"/>
          <w:szCs w:val="32"/>
        </w:rPr>
        <w:t>”</w:t>
      </w:r>
      <w:r>
        <w:rPr>
          <w:rFonts w:eastAsia="仿宋_GB2312" w:cs="Times New Roman"/>
          <w:sz w:val="32"/>
          <w:szCs w:val="32"/>
        </w:rPr>
        <w:t>经费支出</w:t>
      </w:r>
      <w:r w:rsidR="00E535E2">
        <w:rPr>
          <w:rFonts w:eastAsia="仿宋_GB2312" w:cs="Times New Roman" w:hint="eastAsia"/>
          <w:sz w:val="32"/>
          <w:szCs w:val="32"/>
        </w:rPr>
        <w:t>15.89</w:t>
      </w:r>
      <w:r>
        <w:rPr>
          <w:rFonts w:eastAsia="仿宋_GB2312" w:cs="Times New Roman"/>
          <w:sz w:val="32"/>
          <w:szCs w:val="32"/>
        </w:rPr>
        <w:t>万元，比预算</w:t>
      </w:r>
      <w:r>
        <w:rPr>
          <w:rFonts w:eastAsia="仿宋_GB2312" w:cs="Times New Roman" w:hint="eastAsia"/>
          <w:sz w:val="32"/>
          <w:szCs w:val="32"/>
        </w:rPr>
        <w:t>减少</w:t>
      </w:r>
      <w:r w:rsidR="00E535E2">
        <w:rPr>
          <w:rFonts w:eastAsia="仿宋_GB2312" w:cs="Times New Roman" w:hint="eastAsia"/>
          <w:sz w:val="32"/>
          <w:szCs w:val="32"/>
        </w:rPr>
        <w:t>2.93</w:t>
      </w:r>
      <w:r>
        <w:rPr>
          <w:rFonts w:eastAsia="仿宋_GB2312" w:cs="Times New Roman"/>
          <w:sz w:val="32"/>
          <w:szCs w:val="32"/>
        </w:rPr>
        <w:t>万元</w:t>
      </w:r>
      <w:r>
        <w:rPr>
          <w:rFonts w:eastAsia="仿宋_GB2312" w:cs="Times New Roman" w:hint="eastAsia"/>
          <w:sz w:val="32"/>
          <w:szCs w:val="32"/>
        </w:rPr>
        <w:t>。</w:t>
      </w:r>
      <w:r>
        <w:rPr>
          <w:rFonts w:eastAsia="仿宋_GB2312" w:cs="Times New Roman"/>
          <w:sz w:val="32"/>
          <w:szCs w:val="32"/>
        </w:rPr>
        <w:t>其中：公务用车购置及运行维护费</w:t>
      </w:r>
      <w:r w:rsidR="00E535E2">
        <w:rPr>
          <w:rFonts w:eastAsia="仿宋_GB2312" w:cs="Times New Roman" w:hint="eastAsia"/>
          <w:sz w:val="32"/>
          <w:szCs w:val="32"/>
        </w:rPr>
        <w:t>15.89</w:t>
      </w:r>
      <w:r>
        <w:rPr>
          <w:rFonts w:eastAsia="仿宋_GB2312" w:cs="Times New Roman"/>
          <w:sz w:val="32"/>
          <w:szCs w:val="32"/>
        </w:rPr>
        <w:t>万元（公车运行维护费</w:t>
      </w:r>
      <w:r w:rsidR="00E535E2">
        <w:rPr>
          <w:rFonts w:eastAsia="仿宋_GB2312" w:cs="Times New Roman" w:hint="eastAsia"/>
          <w:sz w:val="32"/>
          <w:szCs w:val="32"/>
        </w:rPr>
        <w:t>15.89</w:t>
      </w:r>
      <w:r>
        <w:rPr>
          <w:rFonts w:eastAsia="仿宋_GB2312" w:cs="Times New Roman"/>
          <w:sz w:val="32"/>
          <w:szCs w:val="32"/>
        </w:rPr>
        <w:t>万元，年末公务用车保有量</w:t>
      </w:r>
      <w:r>
        <w:rPr>
          <w:rFonts w:eastAsia="仿宋_GB2312" w:cs="Times New Roman" w:hint="eastAsia"/>
          <w:sz w:val="32"/>
          <w:szCs w:val="32"/>
        </w:rPr>
        <w:t>1</w:t>
      </w:r>
      <w:r>
        <w:rPr>
          <w:rFonts w:eastAsia="仿宋_GB2312" w:cs="Times New Roman"/>
          <w:sz w:val="32"/>
          <w:szCs w:val="32"/>
        </w:rPr>
        <w:t>辆）；</w:t>
      </w:r>
      <w:r w:rsidR="00B137C2" w:rsidRPr="007742CA">
        <w:rPr>
          <w:rFonts w:eastAsia="仿宋_GB2312" w:cs="Times New Roman"/>
          <w:sz w:val="32"/>
          <w:szCs w:val="32"/>
        </w:rPr>
        <w:t>比</w:t>
      </w:r>
      <w:r w:rsidR="00B137C2" w:rsidRPr="007742CA">
        <w:rPr>
          <w:rFonts w:eastAsia="仿宋_GB2312" w:cs="Times New Roman"/>
          <w:sz w:val="32"/>
          <w:szCs w:val="32"/>
        </w:rPr>
        <w:t>2015</w:t>
      </w:r>
      <w:r w:rsidR="00B137C2" w:rsidRPr="007742CA">
        <w:rPr>
          <w:rFonts w:eastAsia="仿宋_GB2312" w:cs="Times New Roman"/>
          <w:sz w:val="32"/>
          <w:szCs w:val="32"/>
        </w:rPr>
        <w:t>年度决算减少</w:t>
      </w:r>
      <w:r w:rsidR="00B137C2">
        <w:rPr>
          <w:rFonts w:eastAsia="仿宋_GB2312" w:cs="Times New Roman" w:hint="eastAsia"/>
          <w:sz w:val="32"/>
          <w:szCs w:val="32"/>
        </w:rPr>
        <w:t>0.01</w:t>
      </w:r>
      <w:r w:rsidR="00B137C2" w:rsidRPr="007742CA">
        <w:rPr>
          <w:rFonts w:eastAsia="仿宋_GB2312" w:cs="Times New Roman"/>
          <w:sz w:val="32"/>
          <w:szCs w:val="32"/>
        </w:rPr>
        <w:t>万元，原因是</w:t>
      </w:r>
      <w:r w:rsidR="00B137C2">
        <w:rPr>
          <w:rFonts w:eastAsia="仿宋_GB2312" w:cs="Times New Roman"/>
          <w:sz w:val="32"/>
          <w:szCs w:val="32"/>
        </w:rPr>
        <w:t>公车改革</w:t>
      </w:r>
      <w:r w:rsidR="00B137C2">
        <w:rPr>
          <w:rFonts w:eastAsia="仿宋_GB2312" w:cs="Times New Roman" w:hint="eastAsia"/>
          <w:sz w:val="32"/>
          <w:szCs w:val="32"/>
        </w:rPr>
        <w:t>，</w:t>
      </w:r>
      <w:r w:rsidR="00B137C2">
        <w:rPr>
          <w:rFonts w:eastAsia="仿宋_GB2312" w:cs="Times New Roman"/>
          <w:sz w:val="32"/>
          <w:szCs w:val="32"/>
        </w:rPr>
        <w:t>科学合理统筹使用车辆</w:t>
      </w:r>
      <w:r w:rsidR="00B137C2" w:rsidRPr="007742CA">
        <w:rPr>
          <w:rFonts w:eastAsia="仿宋_GB2312" w:cs="Times New Roman"/>
          <w:sz w:val="32"/>
          <w:szCs w:val="32"/>
        </w:rPr>
        <w:t>；</w:t>
      </w:r>
      <w:r w:rsidR="00B137C2">
        <w:rPr>
          <w:rFonts w:eastAsia="仿宋_GB2312" w:cs="Times New Roman" w:hint="eastAsia"/>
          <w:sz w:val="32"/>
          <w:szCs w:val="32"/>
        </w:rPr>
        <w:t>无公务接待费用</w:t>
      </w:r>
      <w:r>
        <w:rPr>
          <w:rFonts w:eastAsia="仿宋_GB2312" w:cs="Times New Roman" w:hint="eastAsia"/>
          <w:sz w:val="32"/>
          <w:szCs w:val="32"/>
        </w:rPr>
        <w:t>。</w:t>
      </w:r>
    </w:p>
    <w:p w:rsidR="0048020F" w:rsidRPr="006552BF" w:rsidRDefault="006552BF" w:rsidP="00075D5F">
      <w:pPr>
        <w:ind w:firstLine="640"/>
        <w:rPr>
          <w:rFonts w:ascii="黑体" w:eastAsia="黑体" w:hAnsi="黑体" w:cs="Times New Roman"/>
          <w:b/>
          <w:bCs/>
          <w:sz w:val="32"/>
          <w:szCs w:val="32"/>
        </w:rPr>
      </w:pPr>
      <w:r w:rsidRPr="006552BF">
        <w:rPr>
          <w:rFonts w:ascii="黑体" w:eastAsia="黑体" w:hAnsi="黑体" w:cs="Times New Roman" w:hint="eastAsia"/>
          <w:b/>
          <w:bCs/>
          <w:sz w:val="32"/>
          <w:szCs w:val="32"/>
        </w:rPr>
        <w:t>（六）</w:t>
      </w:r>
      <w:r w:rsidR="0048020F" w:rsidRPr="006552BF">
        <w:rPr>
          <w:rFonts w:ascii="黑体" w:eastAsia="黑体" w:hAnsi="黑体" w:cs="Times New Roman" w:hint="eastAsia"/>
          <w:b/>
          <w:bCs/>
          <w:sz w:val="32"/>
          <w:szCs w:val="32"/>
        </w:rPr>
        <w:t>、绩效预算信息</w:t>
      </w:r>
    </w:p>
    <w:p w:rsidR="0048020F" w:rsidRPr="00C24BF5" w:rsidRDefault="0048020F" w:rsidP="00C24BF5">
      <w:pPr>
        <w:ind w:firstLineChars="200" w:firstLine="643"/>
        <w:jc w:val="left"/>
        <w:rPr>
          <w:rFonts w:ascii="宋体" w:cs="Times New Roman"/>
          <w:b/>
          <w:sz w:val="32"/>
          <w:szCs w:val="32"/>
        </w:rPr>
      </w:pPr>
      <w:bookmarkStart w:id="0" w:name="_Toc471398463"/>
      <w:r w:rsidRPr="00C24BF5">
        <w:rPr>
          <w:rFonts w:ascii="宋体" w:hAnsi="宋体" w:cs="Times New Roman" w:hint="eastAsia"/>
          <w:b/>
          <w:sz w:val="32"/>
          <w:szCs w:val="32"/>
        </w:rPr>
        <w:t>总体绩效目标：</w:t>
      </w:r>
    </w:p>
    <w:p w:rsidR="00B137C2" w:rsidRPr="00104C33" w:rsidRDefault="00B137C2" w:rsidP="00B137C2">
      <w:pPr>
        <w:ind w:firstLineChars="200" w:firstLine="643"/>
        <w:jc w:val="left"/>
        <w:rPr>
          <w:rFonts w:ascii="宋体" w:hAnsi="宋体"/>
          <w:b/>
          <w:sz w:val="32"/>
          <w:szCs w:val="32"/>
        </w:rPr>
      </w:pPr>
      <w:r w:rsidRPr="00104C33">
        <w:rPr>
          <w:rFonts w:ascii="宋体" w:hAnsi="宋体" w:hint="eastAsia"/>
          <w:b/>
          <w:sz w:val="32"/>
          <w:szCs w:val="32"/>
        </w:rPr>
        <w:lastRenderedPageBreak/>
        <w:t>畅通畅通信访渠道，减少信访案件，维护社会和谐稳定。提高信访事项办理质量和效率。妥善处置非正常访，越级访、做好中央、省市县重大会议和政治敏感期以及暑期北戴河安保值班工作，维护社会大局和谐稳定。推动重要信访事项解决，规范信访事项办理、终结，用好特殊疑难信访问题专项资金。进一步提高信访干部业务能力</w:t>
      </w:r>
      <w:r>
        <w:rPr>
          <w:rFonts w:ascii="宋体" w:hAnsi="宋体" w:hint="eastAsia"/>
          <w:b/>
          <w:sz w:val="32"/>
          <w:szCs w:val="32"/>
        </w:rPr>
        <w:t>，</w:t>
      </w:r>
      <w:r w:rsidRPr="00104C33">
        <w:rPr>
          <w:rFonts w:ascii="宋体" w:hAnsi="宋体" w:hint="eastAsia"/>
          <w:b/>
          <w:sz w:val="32"/>
          <w:szCs w:val="32"/>
        </w:rPr>
        <w:t>吸收可行建议，改进信访工作；提高信访信息化应用水平，实现办公自动化、网络化智能化。加强舆情防控和风险提示，有效化解舆情危机；保障机要邮件正常传递和群众工作中心正常运转。进一步提高信访干部业务能力；吸收可行建议，改进信访工作；提高信访信息化应用水平。加强舆情防控和风险提示，有效化解舆情危机；保障机要邮件正常传递和群众工作中心正常运转；确保会议正常召开。</w:t>
      </w:r>
    </w:p>
    <w:p w:rsidR="00B137C2" w:rsidRPr="00C24BF5" w:rsidRDefault="00B137C2" w:rsidP="00B137C2">
      <w:pPr>
        <w:ind w:firstLineChars="200" w:firstLine="643"/>
        <w:jc w:val="left"/>
        <w:outlineLvl w:val="0"/>
        <w:rPr>
          <w:rFonts w:ascii="宋体" w:hAnsi="宋体"/>
          <w:b/>
          <w:sz w:val="32"/>
          <w:szCs w:val="32"/>
        </w:rPr>
      </w:pPr>
      <w:r w:rsidRPr="00C24BF5">
        <w:rPr>
          <w:rFonts w:ascii="宋体" w:hAnsi="宋体" w:hint="eastAsia"/>
          <w:b/>
          <w:sz w:val="32"/>
          <w:szCs w:val="32"/>
        </w:rPr>
        <w:t>部门职责及工作活动绩效目标指标：</w:t>
      </w:r>
    </w:p>
    <w:p w:rsidR="00B137C2" w:rsidRDefault="00B137C2" w:rsidP="00B137C2">
      <w:pPr>
        <w:jc w:val="center"/>
        <w:outlineLvl w:val="0"/>
        <w:rPr>
          <w:rFonts w:ascii="方正小标宋_GBK" w:eastAsia="方正小标宋_GBK" w:hAnsi="Times New Roman"/>
          <w:sz w:val="32"/>
          <w:szCs w:val="24"/>
        </w:rPr>
      </w:pPr>
    </w:p>
    <w:p w:rsidR="00B137C2" w:rsidRDefault="00B137C2" w:rsidP="00B137C2">
      <w:pPr>
        <w:jc w:val="center"/>
        <w:outlineLvl w:val="0"/>
        <w:rPr>
          <w:rFonts w:ascii="方正小标宋_GBK" w:eastAsia="方正小标宋_GBK"/>
          <w:sz w:val="32"/>
        </w:rPr>
      </w:pPr>
      <w:bookmarkStart w:id="1" w:name="_Toc478565846"/>
      <w:r w:rsidRPr="00B93A07">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137C2" w:rsidRPr="00137B72" w:rsidTr="002078D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137C2" w:rsidRPr="00137B72" w:rsidRDefault="00B137C2" w:rsidP="002078DC">
            <w:pPr>
              <w:spacing w:line="300" w:lineRule="exact"/>
              <w:jc w:val="left"/>
              <w:rPr>
                <w:rFonts w:ascii="方正小标宋_GBK" w:eastAsia="方正小标宋_GBK"/>
                <w:sz w:val="24"/>
              </w:rPr>
            </w:pPr>
            <w:r w:rsidRPr="00137B72">
              <w:rPr>
                <w:rFonts w:ascii="方正小标宋_GBK" w:eastAsia="方正小标宋_GBK"/>
                <w:sz w:val="24"/>
              </w:rPr>
              <w:t>221</w:t>
            </w:r>
            <w:r w:rsidRPr="00137B72">
              <w:rPr>
                <w:rFonts w:ascii="方正小标宋_GBK" w:eastAsia="方正小标宋_GBK" w:hint="eastAsia"/>
                <w:sz w:val="24"/>
              </w:rPr>
              <w:t>县信访局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137C2" w:rsidRPr="00137B72" w:rsidRDefault="00B137C2" w:rsidP="002078DC">
            <w:pPr>
              <w:spacing w:line="300" w:lineRule="exact"/>
              <w:jc w:val="right"/>
              <w:rPr>
                <w:rFonts w:ascii="方正书宋_GBK" w:eastAsia="方正书宋_GBK"/>
                <w:sz w:val="24"/>
              </w:rPr>
            </w:pPr>
            <w:r w:rsidRPr="00137B72">
              <w:rPr>
                <w:rFonts w:ascii="方正书宋_GBK" w:eastAsia="方正书宋_GBK" w:hint="eastAsia"/>
                <w:sz w:val="24"/>
              </w:rPr>
              <w:t>单位：万元</w:t>
            </w:r>
          </w:p>
        </w:tc>
      </w:tr>
      <w:tr w:rsidR="00B137C2" w:rsidRPr="00137B72" w:rsidTr="002078DC">
        <w:trPr>
          <w:trHeight w:val="227"/>
          <w:tblHeader/>
          <w:jc w:val="center"/>
        </w:trPr>
        <w:tc>
          <w:tcPr>
            <w:tcW w:w="2341" w:type="dxa"/>
            <w:vMerge w:val="restart"/>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职责活动</w:t>
            </w:r>
          </w:p>
        </w:tc>
        <w:tc>
          <w:tcPr>
            <w:tcW w:w="1276" w:type="dxa"/>
            <w:vMerge w:val="restart"/>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年度预算数</w:t>
            </w:r>
          </w:p>
        </w:tc>
        <w:tc>
          <w:tcPr>
            <w:tcW w:w="2976" w:type="dxa"/>
            <w:vMerge w:val="restart"/>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内容描述</w:t>
            </w:r>
          </w:p>
        </w:tc>
        <w:tc>
          <w:tcPr>
            <w:tcW w:w="2976" w:type="dxa"/>
            <w:vMerge w:val="restart"/>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绩效目标</w:t>
            </w:r>
          </w:p>
        </w:tc>
        <w:tc>
          <w:tcPr>
            <w:tcW w:w="1417" w:type="dxa"/>
            <w:vMerge w:val="restart"/>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绩效指标</w:t>
            </w:r>
          </w:p>
        </w:tc>
        <w:tc>
          <w:tcPr>
            <w:tcW w:w="2948" w:type="dxa"/>
            <w:gridSpan w:val="4"/>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评价标准</w:t>
            </w:r>
          </w:p>
        </w:tc>
      </w:tr>
      <w:tr w:rsidR="00B137C2" w:rsidRPr="00137B72" w:rsidTr="002078DC">
        <w:trPr>
          <w:trHeight w:val="227"/>
          <w:tblHeader/>
          <w:jc w:val="center"/>
        </w:trPr>
        <w:tc>
          <w:tcPr>
            <w:tcW w:w="2341" w:type="dxa"/>
            <w:vMerge/>
            <w:shd w:val="clear" w:color="auto" w:fill="auto"/>
            <w:vAlign w:val="center"/>
          </w:tcPr>
          <w:p w:rsidR="00B137C2" w:rsidRPr="00137B72" w:rsidRDefault="00B137C2" w:rsidP="002078DC">
            <w:pPr>
              <w:spacing w:line="300" w:lineRule="exact"/>
              <w:jc w:val="left"/>
              <w:outlineLvl w:val="0"/>
            </w:pPr>
          </w:p>
        </w:tc>
        <w:tc>
          <w:tcPr>
            <w:tcW w:w="1276" w:type="dxa"/>
            <w:vMerge/>
            <w:shd w:val="clear" w:color="auto" w:fill="auto"/>
            <w:vAlign w:val="center"/>
          </w:tcPr>
          <w:p w:rsidR="00B137C2" w:rsidRPr="00137B72" w:rsidRDefault="00B137C2" w:rsidP="002078DC">
            <w:pPr>
              <w:spacing w:line="300" w:lineRule="exact"/>
              <w:jc w:val="left"/>
              <w:outlineLvl w:val="0"/>
            </w:pPr>
          </w:p>
        </w:tc>
        <w:tc>
          <w:tcPr>
            <w:tcW w:w="2976" w:type="dxa"/>
            <w:vMerge/>
            <w:shd w:val="clear" w:color="auto" w:fill="auto"/>
            <w:vAlign w:val="center"/>
          </w:tcPr>
          <w:p w:rsidR="00B137C2" w:rsidRPr="00137B72" w:rsidRDefault="00B137C2" w:rsidP="002078DC">
            <w:pPr>
              <w:spacing w:line="300" w:lineRule="exact"/>
              <w:jc w:val="left"/>
              <w:outlineLvl w:val="0"/>
            </w:pPr>
          </w:p>
        </w:tc>
        <w:tc>
          <w:tcPr>
            <w:tcW w:w="2976" w:type="dxa"/>
            <w:vMerge/>
            <w:shd w:val="clear" w:color="auto" w:fill="auto"/>
            <w:vAlign w:val="center"/>
          </w:tcPr>
          <w:p w:rsidR="00B137C2" w:rsidRPr="00137B72" w:rsidRDefault="00B137C2" w:rsidP="002078DC">
            <w:pPr>
              <w:spacing w:line="300" w:lineRule="exact"/>
              <w:jc w:val="left"/>
              <w:outlineLvl w:val="0"/>
            </w:pPr>
          </w:p>
        </w:tc>
        <w:tc>
          <w:tcPr>
            <w:tcW w:w="1417" w:type="dxa"/>
            <w:vMerge/>
            <w:shd w:val="clear" w:color="auto" w:fill="auto"/>
            <w:vAlign w:val="center"/>
          </w:tcPr>
          <w:p w:rsidR="00B137C2" w:rsidRPr="00137B72" w:rsidRDefault="00B137C2" w:rsidP="002078DC">
            <w:pPr>
              <w:spacing w:line="300" w:lineRule="exact"/>
              <w:jc w:val="left"/>
              <w:outlineLvl w:val="0"/>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优</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良</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中</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b/>
              </w:rPr>
            </w:pPr>
            <w:r w:rsidRPr="00137B72">
              <w:rPr>
                <w:rFonts w:ascii="方正书宋_GBK" w:eastAsia="方正书宋_GBK" w:hint="eastAsia"/>
                <w:b/>
              </w:rPr>
              <w:t>差</w:t>
            </w:r>
          </w:p>
        </w:tc>
      </w:tr>
      <w:tr w:rsidR="00B137C2" w:rsidRPr="00137B72" w:rsidTr="002078DC">
        <w:trPr>
          <w:trHeight w:val="227"/>
          <w:jc w:val="center"/>
        </w:trPr>
        <w:tc>
          <w:tcPr>
            <w:tcW w:w="2341" w:type="dxa"/>
            <w:shd w:val="clear" w:color="auto" w:fill="auto"/>
            <w:vAlign w:val="center"/>
          </w:tcPr>
          <w:p w:rsidR="00B137C2" w:rsidRPr="00137B72" w:rsidRDefault="00B137C2" w:rsidP="002078DC">
            <w:pPr>
              <w:spacing w:line="300" w:lineRule="exact"/>
              <w:jc w:val="left"/>
              <w:rPr>
                <w:rFonts w:ascii="方正书宋_GBK" w:eastAsia="方正书宋_GBK"/>
                <w:b/>
              </w:rPr>
            </w:pPr>
            <w:r w:rsidRPr="00137B72">
              <w:rPr>
                <w:rFonts w:ascii="方正书宋_GBK" w:eastAsia="方正书宋_GBK" w:hint="eastAsia"/>
                <w:b/>
              </w:rPr>
              <w:t>信访问题处理</w:t>
            </w:r>
          </w:p>
        </w:tc>
        <w:tc>
          <w:tcPr>
            <w:tcW w:w="12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1045.68</w:t>
            </w:r>
          </w:p>
        </w:tc>
        <w:tc>
          <w:tcPr>
            <w:tcW w:w="29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负责正常信访、进京非访、越级访、突发性及群体性事件的办理；提供相关服务保障；协助省市信访局处理越级上访；信访事项督查、复查复核、听证；上级交办件的查办以及网</w:t>
            </w:r>
            <w:r w:rsidRPr="00137B72">
              <w:rPr>
                <w:rFonts w:ascii="方正书宋_GBK" w:eastAsia="方正书宋_GBK" w:hint="eastAsia"/>
              </w:rPr>
              <w:lastRenderedPageBreak/>
              <w:t>上信访业务、负责县委县政府交办的其他事项。</w:t>
            </w:r>
          </w:p>
        </w:tc>
        <w:tc>
          <w:tcPr>
            <w:tcW w:w="29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lastRenderedPageBreak/>
              <w:t>畅通信访渠道，减少信访案件，维护社会和谐稳定。</w:t>
            </w: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p>
        </w:tc>
      </w:tr>
      <w:tr w:rsidR="00B137C2" w:rsidRPr="00137B72" w:rsidTr="002078DC">
        <w:trPr>
          <w:trHeight w:val="227"/>
          <w:jc w:val="center"/>
        </w:trPr>
        <w:tc>
          <w:tcPr>
            <w:tcW w:w="2341" w:type="dxa"/>
            <w:vMerge w:val="restart"/>
            <w:shd w:val="clear" w:color="auto" w:fill="auto"/>
            <w:vAlign w:val="center"/>
          </w:tcPr>
          <w:p w:rsidR="00B137C2" w:rsidRPr="00137B72" w:rsidRDefault="00B137C2" w:rsidP="002078DC">
            <w:pPr>
              <w:spacing w:line="300" w:lineRule="exact"/>
              <w:jc w:val="left"/>
              <w:rPr>
                <w:rFonts w:ascii="方正书宋_GBK" w:eastAsia="方正书宋_GBK"/>
                <w:b/>
              </w:rPr>
            </w:pPr>
            <w:r w:rsidRPr="00137B72">
              <w:rPr>
                <w:rFonts w:ascii="方正书宋_GBK" w:eastAsia="方正书宋_GBK" w:hint="eastAsia"/>
                <w:b/>
              </w:rPr>
              <w:lastRenderedPageBreak/>
              <w:t xml:space="preserve">　　信访业务办理</w:t>
            </w:r>
          </w:p>
        </w:tc>
        <w:tc>
          <w:tcPr>
            <w:tcW w:w="12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rPr>
              <w:t>5.00</w:t>
            </w:r>
          </w:p>
        </w:tc>
        <w:tc>
          <w:tcPr>
            <w:tcW w:w="29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办理人民群众来信、来访、接待全县信访人员来访；对上级机关交办信访案件进行查办、上报工作；充分利用信访机关政务网，开展网上信访各项业务工作。</w:t>
            </w:r>
          </w:p>
        </w:tc>
        <w:tc>
          <w:tcPr>
            <w:tcW w:w="29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畅通信访渠道，提高信访事项办理质量和效率。</w:t>
            </w: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信访事项受理及时率</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80%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75%</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70%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&lt;70%</w:t>
            </w:r>
          </w:p>
        </w:tc>
      </w:tr>
      <w:tr w:rsidR="00B137C2" w:rsidRPr="00137B72" w:rsidTr="002078DC">
        <w:trPr>
          <w:trHeight w:val="227"/>
          <w:jc w:val="center"/>
        </w:trPr>
        <w:tc>
          <w:tcPr>
            <w:tcW w:w="2341" w:type="dxa"/>
            <w:vMerge/>
            <w:shd w:val="clear" w:color="auto" w:fill="auto"/>
            <w:vAlign w:val="center"/>
          </w:tcPr>
          <w:p w:rsidR="00B137C2" w:rsidRPr="00137B72" w:rsidRDefault="00B137C2" w:rsidP="002078DC">
            <w:pPr>
              <w:spacing w:line="300" w:lineRule="exact"/>
              <w:jc w:val="left"/>
              <w:rPr>
                <w:rFonts w:ascii="方正书宋_GBK" w:eastAsia="方正书宋_GBK"/>
                <w:b/>
              </w:rPr>
            </w:pPr>
          </w:p>
        </w:tc>
        <w:tc>
          <w:tcPr>
            <w:tcW w:w="12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29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29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信访事项按期结案率</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80%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75%</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70%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&lt;70%</w:t>
            </w:r>
          </w:p>
        </w:tc>
      </w:tr>
      <w:tr w:rsidR="00B137C2" w:rsidRPr="00137B72" w:rsidTr="002078DC">
        <w:trPr>
          <w:trHeight w:val="227"/>
          <w:jc w:val="center"/>
        </w:trPr>
        <w:tc>
          <w:tcPr>
            <w:tcW w:w="2341" w:type="dxa"/>
            <w:vMerge w:val="restart"/>
            <w:shd w:val="clear" w:color="auto" w:fill="auto"/>
            <w:vAlign w:val="center"/>
          </w:tcPr>
          <w:p w:rsidR="00B137C2" w:rsidRPr="00137B72" w:rsidRDefault="00B137C2" w:rsidP="002078DC">
            <w:pPr>
              <w:spacing w:line="300" w:lineRule="exact"/>
              <w:jc w:val="left"/>
              <w:rPr>
                <w:rFonts w:ascii="方正书宋_GBK" w:eastAsia="方正书宋_GBK"/>
                <w:b/>
              </w:rPr>
            </w:pPr>
            <w:r w:rsidRPr="00137B72">
              <w:rPr>
                <w:rFonts w:ascii="方正书宋_GBK" w:eastAsia="方正书宋_GBK" w:hint="eastAsia"/>
                <w:b/>
              </w:rPr>
              <w:t xml:space="preserve">　　处置非访、进京赴省到市越级上访、突发性及群体性事件。中央、省市县重要会议、重大活动和政治敏感期期间信访维稳安保工作。</w:t>
            </w:r>
          </w:p>
        </w:tc>
        <w:tc>
          <w:tcPr>
            <w:tcW w:w="12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rPr>
              <w:t>1036.00</w:t>
            </w:r>
          </w:p>
        </w:tc>
        <w:tc>
          <w:tcPr>
            <w:tcW w:w="29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协助公安机关维护重点区域的正常工作秩序；处置影响社会政治稳定的各类非访、越级访及突发性、群体性事件；负责组织协调进京值班、稳控劝返、服务保障我县越级非访工作。负责组织协调全县各单位在中央、省市县重要会议重大活动和政治敏感期期间的信访安保值班工作，以及暑期北戴河安保值班工作，在重大活动和敏感时期确保零登记、零通报目标。</w:t>
            </w:r>
          </w:p>
        </w:tc>
        <w:tc>
          <w:tcPr>
            <w:tcW w:w="29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妥善处置非正常访，越级访、做好中央、省市县重大会议和政治敏感期以及暑期北戴河安保值班工作，维护社会大局和谐稳定。</w:t>
            </w: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信访事项受理及时率</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80%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75%</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70%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&lt;70%</w:t>
            </w:r>
          </w:p>
        </w:tc>
      </w:tr>
      <w:tr w:rsidR="00B137C2" w:rsidRPr="00137B72" w:rsidTr="002078DC">
        <w:trPr>
          <w:trHeight w:val="227"/>
          <w:jc w:val="center"/>
        </w:trPr>
        <w:tc>
          <w:tcPr>
            <w:tcW w:w="2341" w:type="dxa"/>
            <w:vMerge/>
            <w:shd w:val="clear" w:color="auto" w:fill="auto"/>
            <w:vAlign w:val="center"/>
          </w:tcPr>
          <w:p w:rsidR="00B137C2" w:rsidRPr="00137B72" w:rsidRDefault="00B137C2" w:rsidP="002078DC">
            <w:pPr>
              <w:spacing w:line="300" w:lineRule="exact"/>
              <w:jc w:val="left"/>
              <w:rPr>
                <w:rFonts w:ascii="方正书宋_GBK" w:eastAsia="方正书宋_GBK"/>
                <w:b/>
              </w:rPr>
            </w:pPr>
          </w:p>
        </w:tc>
        <w:tc>
          <w:tcPr>
            <w:tcW w:w="12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29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29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信访事项按期结案率</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80%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75%</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70%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&lt;70%</w:t>
            </w:r>
          </w:p>
        </w:tc>
      </w:tr>
      <w:tr w:rsidR="00B137C2" w:rsidRPr="00137B72" w:rsidTr="002078DC">
        <w:trPr>
          <w:trHeight w:val="227"/>
          <w:jc w:val="center"/>
        </w:trPr>
        <w:tc>
          <w:tcPr>
            <w:tcW w:w="2341" w:type="dxa"/>
            <w:vMerge w:val="restart"/>
            <w:shd w:val="clear" w:color="auto" w:fill="auto"/>
            <w:vAlign w:val="center"/>
          </w:tcPr>
          <w:p w:rsidR="00B137C2" w:rsidRPr="00137B72" w:rsidRDefault="00B137C2" w:rsidP="002078DC">
            <w:pPr>
              <w:spacing w:line="300" w:lineRule="exact"/>
              <w:jc w:val="left"/>
              <w:rPr>
                <w:rFonts w:ascii="方正书宋_GBK" w:eastAsia="方正书宋_GBK"/>
                <w:b/>
              </w:rPr>
            </w:pPr>
            <w:r w:rsidRPr="00137B72">
              <w:rPr>
                <w:rFonts w:ascii="方正书宋_GBK" w:eastAsia="方正书宋_GBK" w:hint="eastAsia"/>
                <w:b/>
              </w:rPr>
              <w:t xml:space="preserve">　　信访事项督查、复查复核、听证</w:t>
            </w:r>
          </w:p>
        </w:tc>
        <w:tc>
          <w:tcPr>
            <w:tcW w:w="12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rPr>
              <w:t>4.</w:t>
            </w:r>
            <w:r w:rsidRPr="00137B72">
              <w:rPr>
                <w:rFonts w:ascii="方正书宋_GBK" w:eastAsia="方正书宋_GBK" w:hint="eastAsia"/>
              </w:rPr>
              <w:t>68</w:t>
            </w:r>
          </w:p>
        </w:tc>
        <w:tc>
          <w:tcPr>
            <w:tcW w:w="29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负责指导全县信访督查、复查复核、听证等工作，并对相关事项进行审核、上报；负责三跨三分离案件的办理工作，负责信访疑难案件的督办。</w:t>
            </w:r>
          </w:p>
        </w:tc>
        <w:tc>
          <w:tcPr>
            <w:tcW w:w="2976" w:type="dxa"/>
            <w:vMerge w:val="restart"/>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推动重要信访事项解决，规范信访事项办理、终结，用好特殊疑难信访问题专项资金。</w:t>
            </w: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解决特殊信访疑难问题件数</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8</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7</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6</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&lt;6</w:t>
            </w:r>
          </w:p>
        </w:tc>
      </w:tr>
      <w:tr w:rsidR="00B137C2" w:rsidRPr="00137B72" w:rsidTr="002078DC">
        <w:trPr>
          <w:trHeight w:val="227"/>
          <w:jc w:val="center"/>
        </w:trPr>
        <w:tc>
          <w:tcPr>
            <w:tcW w:w="2341" w:type="dxa"/>
            <w:vMerge/>
            <w:shd w:val="clear" w:color="auto" w:fill="auto"/>
            <w:vAlign w:val="center"/>
          </w:tcPr>
          <w:p w:rsidR="00B137C2" w:rsidRPr="00137B72" w:rsidRDefault="00B137C2" w:rsidP="002078DC">
            <w:pPr>
              <w:spacing w:line="300" w:lineRule="exact"/>
              <w:jc w:val="left"/>
              <w:rPr>
                <w:rFonts w:ascii="方正书宋_GBK" w:eastAsia="方正书宋_GBK"/>
                <w:b/>
              </w:rPr>
            </w:pPr>
          </w:p>
        </w:tc>
        <w:tc>
          <w:tcPr>
            <w:tcW w:w="12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29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2976" w:type="dxa"/>
            <w:vMerge/>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督办信访案件数</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8</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7</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6</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&lt;6</w:t>
            </w:r>
          </w:p>
        </w:tc>
      </w:tr>
      <w:tr w:rsidR="00B137C2" w:rsidRPr="00137B72" w:rsidTr="002078DC">
        <w:trPr>
          <w:trHeight w:val="227"/>
          <w:jc w:val="center"/>
        </w:trPr>
        <w:tc>
          <w:tcPr>
            <w:tcW w:w="2341" w:type="dxa"/>
            <w:shd w:val="clear" w:color="auto" w:fill="auto"/>
            <w:vAlign w:val="center"/>
          </w:tcPr>
          <w:p w:rsidR="00B137C2" w:rsidRPr="00137B72" w:rsidRDefault="00B137C2" w:rsidP="002078DC">
            <w:pPr>
              <w:spacing w:line="300" w:lineRule="exact"/>
              <w:jc w:val="left"/>
              <w:rPr>
                <w:rFonts w:ascii="方正书宋_GBK" w:eastAsia="方正书宋_GBK"/>
                <w:b/>
              </w:rPr>
            </w:pPr>
            <w:r w:rsidRPr="00137B72">
              <w:rPr>
                <w:rFonts w:ascii="方正书宋_GBK" w:eastAsia="方正书宋_GBK" w:hint="eastAsia"/>
                <w:b/>
              </w:rPr>
              <w:t>信访事务管理</w:t>
            </w:r>
          </w:p>
        </w:tc>
        <w:tc>
          <w:tcPr>
            <w:tcW w:w="12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rPr>
              <w:t>80.00</w:t>
            </w:r>
          </w:p>
        </w:tc>
        <w:tc>
          <w:tcPr>
            <w:tcW w:w="29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调研提出信访工作对策建议；督促检查和指导全县信访工作；加强舆情防控和风险提示，</w:t>
            </w:r>
            <w:r w:rsidRPr="00137B72">
              <w:rPr>
                <w:rFonts w:ascii="方正书宋_GBK" w:eastAsia="方正书宋_GBK" w:hint="eastAsia"/>
              </w:rPr>
              <w:lastRenderedPageBreak/>
              <w:t>有效化解舆情危机；机关日常工作。</w:t>
            </w:r>
          </w:p>
        </w:tc>
        <w:tc>
          <w:tcPr>
            <w:tcW w:w="29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lastRenderedPageBreak/>
              <w:t>进一步提高信访干部业务能力；吸收可行建议，改进信访工作；提高信访信息化应用水</w:t>
            </w:r>
            <w:r w:rsidRPr="00137B72">
              <w:rPr>
                <w:rFonts w:ascii="方正书宋_GBK" w:eastAsia="方正书宋_GBK" w:hint="eastAsia"/>
              </w:rPr>
              <w:lastRenderedPageBreak/>
              <w:t>平，实现办公自动化、网络化智能化。加强舆情防控和风险提示，有效化解舆情危机；保障机要邮件正常传递和群众工作中心正常运转；确保会议正常召开。</w:t>
            </w: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p>
        </w:tc>
      </w:tr>
      <w:tr w:rsidR="00B137C2" w:rsidRPr="00137B72" w:rsidTr="002078DC">
        <w:trPr>
          <w:trHeight w:val="227"/>
          <w:jc w:val="center"/>
        </w:trPr>
        <w:tc>
          <w:tcPr>
            <w:tcW w:w="2341" w:type="dxa"/>
            <w:shd w:val="clear" w:color="auto" w:fill="auto"/>
            <w:vAlign w:val="center"/>
          </w:tcPr>
          <w:p w:rsidR="00B137C2" w:rsidRPr="00137B72" w:rsidRDefault="00B137C2" w:rsidP="002078DC">
            <w:pPr>
              <w:spacing w:line="300" w:lineRule="exact"/>
              <w:jc w:val="left"/>
              <w:rPr>
                <w:rFonts w:ascii="方正书宋_GBK" w:eastAsia="方正书宋_GBK"/>
                <w:b/>
              </w:rPr>
            </w:pPr>
            <w:r w:rsidRPr="00137B72">
              <w:rPr>
                <w:rFonts w:ascii="方正书宋_GBK" w:eastAsia="方正书宋_GBK" w:hint="eastAsia"/>
                <w:b/>
              </w:rPr>
              <w:lastRenderedPageBreak/>
              <w:t xml:space="preserve">　　其他综合事务管理</w:t>
            </w:r>
          </w:p>
        </w:tc>
        <w:tc>
          <w:tcPr>
            <w:tcW w:w="12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rPr>
              <w:t>80.00</w:t>
            </w:r>
          </w:p>
        </w:tc>
        <w:tc>
          <w:tcPr>
            <w:tcW w:w="29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调研提出信访工作对策建议；督促检查和指导全县信访工作；信息化建设与运维管理；加强舆情防控和风险提示，有效化解舆情危机；机要邮件正常传递；负责局机关行政后勤、资产、物业管理。承办县联席办的日常工作。</w:t>
            </w:r>
          </w:p>
        </w:tc>
        <w:tc>
          <w:tcPr>
            <w:tcW w:w="2976"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进一步提高信访干部业务能力；吸收可行建议，改进信访工作；提高信访信息化应用水平。加强舆情防控和风险提示，有效化解舆情危机；保障机要邮件正常传递和群众工作中心正常运转；确保会议正常召开。</w:t>
            </w:r>
          </w:p>
        </w:tc>
        <w:tc>
          <w:tcPr>
            <w:tcW w:w="1417" w:type="dxa"/>
            <w:shd w:val="clear" w:color="auto" w:fill="auto"/>
            <w:vAlign w:val="center"/>
          </w:tcPr>
          <w:p w:rsidR="00B137C2" w:rsidRPr="00137B72" w:rsidRDefault="00B137C2" w:rsidP="002078DC">
            <w:pPr>
              <w:spacing w:line="300" w:lineRule="exact"/>
              <w:jc w:val="left"/>
              <w:rPr>
                <w:rFonts w:ascii="方正书宋_GBK" w:eastAsia="方正书宋_GBK"/>
              </w:rPr>
            </w:pPr>
            <w:r w:rsidRPr="00137B72">
              <w:rPr>
                <w:rFonts w:ascii="方正书宋_GBK" w:eastAsia="方正书宋_GBK" w:hint="eastAsia"/>
              </w:rPr>
              <w:t>其他各项综合实务工作完成率</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100%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95%</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hint="eastAsia"/>
              </w:rPr>
              <w:t>≥</w:t>
            </w:r>
            <w:r w:rsidRPr="00137B72">
              <w:rPr>
                <w:rFonts w:ascii="方正书宋_GBK" w:eastAsia="方正书宋_GBK"/>
              </w:rPr>
              <w:t>90%</w:t>
            </w:r>
          </w:p>
        </w:tc>
        <w:tc>
          <w:tcPr>
            <w:tcW w:w="737" w:type="dxa"/>
            <w:shd w:val="clear" w:color="auto" w:fill="auto"/>
            <w:vAlign w:val="center"/>
          </w:tcPr>
          <w:p w:rsidR="00B137C2" w:rsidRPr="00137B72" w:rsidRDefault="00B137C2" w:rsidP="002078DC">
            <w:pPr>
              <w:spacing w:line="300" w:lineRule="exact"/>
              <w:jc w:val="center"/>
              <w:rPr>
                <w:rFonts w:ascii="方正书宋_GBK" w:eastAsia="方正书宋_GBK"/>
              </w:rPr>
            </w:pPr>
            <w:r w:rsidRPr="00137B72">
              <w:rPr>
                <w:rFonts w:ascii="方正书宋_GBK" w:eastAsia="方正书宋_GBK"/>
              </w:rPr>
              <w:t>&lt;90%</w:t>
            </w:r>
          </w:p>
        </w:tc>
      </w:tr>
    </w:tbl>
    <w:p w:rsidR="003D2C1B" w:rsidRDefault="003D2C1B" w:rsidP="0046769B">
      <w:pPr>
        <w:spacing w:line="300" w:lineRule="exact"/>
        <w:jc w:val="left"/>
        <w:outlineLvl w:val="0"/>
        <w:rPr>
          <w:rFonts w:ascii="宋体"/>
        </w:rPr>
      </w:pPr>
    </w:p>
    <w:p w:rsidR="003D2C1B" w:rsidRPr="00C24BF5" w:rsidRDefault="006552BF" w:rsidP="003D2C1B">
      <w:pPr>
        <w:ind w:firstLineChars="200" w:firstLine="640"/>
        <w:rPr>
          <w:rFonts w:ascii="黑体" w:eastAsia="黑体" w:hAnsi="黑体" w:cs="Times New Roman"/>
          <w:sz w:val="32"/>
          <w:szCs w:val="32"/>
        </w:rPr>
      </w:pPr>
      <w:r>
        <w:rPr>
          <w:rFonts w:ascii="黑体" w:eastAsia="黑体" w:hAnsi="黑体" w:cs="Times New Roman" w:hint="eastAsia"/>
          <w:sz w:val="32"/>
          <w:szCs w:val="32"/>
        </w:rPr>
        <w:t>（七）、政府采购决算</w:t>
      </w:r>
      <w:r w:rsidR="003D2C1B" w:rsidRPr="00C24BF5">
        <w:rPr>
          <w:rFonts w:ascii="黑体" w:eastAsia="黑体" w:hAnsi="黑体" w:cs="Times New Roman" w:hint="eastAsia"/>
          <w:sz w:val="32"/>
          <w:szCs w:val="32"/>
        </w:rPr>
        <w:t>情况</w:t>
      </w:r>
    </w:p>
    <w:p w:rsidR="006552BF" w:rsidRPr="006552BF" w:rsidRDefault="006552BF" w:rsidP="006552BF">
      <w:pPr>
        <w:widowControl/>
        <w:spacing w:line="560" w:lineRule="exact"/>
        <w:ind w:firstLineChars="200" w:firstLine="640"/>
        <w:jc w:val="left"/>
        <w:rPr>
          <w:rFonts w:ascii="仿宋" w:eastAsia="仿宋" w:hAnsi="仿宋"/>
          <w:color w:val="000000" w:themeColor="text1"/>
          <w:kern w:val="0"/>
          <w:sz w:val="32"/>
          <w:szCs w:val="32"/>
        </w:rPr>
      </w:pPr>
      <w:r w:rsidRPr="006552BF">
        <w:rPr>
          <w:rFonts w:ascii="仿宋" w:eastAsia="仿宋" w:hAnsi="仿宋" w:cs="Times New Roman" w:hint="eastAsia"/>
          <w:color w:val="000000" w:themeColor="text1"/>
          <w:kern w:val="0"/>
          <w:sz w:val="32"/>
          <w:szCs w:val="32"/>
        </w:rPr>
        <w:t>2016年度没有安排政府采购。</w:t>
      </w:r>
    </w:p>
    <w:p w:rsidR="003D2C1B" w:rsidRPr="00C24BF5" w:rsidRDefault="006552BF" w:rsidP="003D2C1B">
      <w:pPr>
        <w:ind w:firstLine="640"/>
        <w:rPr>
          <w:rFonts w:ascii="黑体" w:eastAsia="黑体" w:hAnsi="黑体" w:cs="Times New Roman"/>
          <w:sz w:val="32"/>
          <w:szCs w:val="32"/>
        </w:rPr>
      </w:pPr>
      <w:r>
        <w:rPr>
          <w:rFonts w:ascii="黑体" w:eastAsia="黑体" w:hAnsi="黑体" w:cs="Times New Roman" w:hint="eastAsia"/>
          <w:sz w:val="32"/>
          <w:szCs w:val="32"/>
        </w:rPr>
        <w:t>（八）、</w:t>
      </w:r>
      <w:r w:rsidR="003D2C1B" w:rsidRPr="00C24BF5">
        <w:rPr>
          <w:rFonts w:ascii="黑体" w:eastAsia="黑体" w:hAnsi="黑体" w:cs="Times New Roman" w:hint="eastAsia"/>
          <w:sz w:val="32"/>
          <w:szCs w:val="32"/>
        </w:rPr>
        <w:t>国有资产信息</w:t>
      </w:r>
    </w:p>
    <w:p w:rsidR="003D2C1B" w:rsidRPr="006552BF" w:rsidRDefault="006552BF" w:rsidP="006552BF">
      <w:pPr>
        <w:spacing w:line="560" w:lineRule="exact"/>
        <w:ind w:firstLineChars="200" w:firstLine="640"/>
        <w:rPr>
          <w:rFonts w:ascii="仿宋" w:eastAsia="仿宋" w:hAnsi="仿宋"/>
          <w:color w:val="000000" w:themeColor="text1"/>
          <w:sz w:val="32"/>
          <w:szCs w:val="32"/>
        </w:rPr>
      </w:pPr>
      <w:r w:rsidRPr="006552BF">
        <w:rPr>
          <w:rFonts w:ascii="仿宋" w:eastAsia="仿宋" w:hAnsi="仿宋" w:cs="Times New Roman"/>
          <w:color w:val="000000" w:themeColor="text1"/>
          <w:sz w:val="32"/>
          <w:szCs w:val="32"/>
        </w:rPr>
        <w:t>截至2016年12月31日，</w:t>
      </w:r>
      <w:r w:rsidRPr="006552BF">
        <w:rPr>
          <w:rFonts w:ascii="仿宋" w:eastAsia="仿宋" w:hAnsi="仿宋" w:cs="Times New Roman" w:hint="eastAsia"/>
          <w:color w:val="000000" w:themeColor="text1"/>
          <w:sz w:val="32"/>
          <w:szCs w:val="32"/>
        </w:rPr>
        <w:t>本部门固定资产总额为</w:t>
      </w:r>
      <w:r w:rsidR="00AE60F9">
        <w:rPr>
          <w:rFonts w:ascii="仿宋" w:eastAsia="仿宋" w:hAnsi="仿宋" w:cs="Times New Roman" w:hint="eastAsia"/>
          <w:color w:val="000000" w:themeColor="text1"/>
          <w:sz w:val="32"/>
          <w:szCs w:val="32"/>
        </w:rPr>
        <w:t>15.48</w:t>
      </w:r>
      <w:r w:rsidRPr="006552BF">
        <w:rPr>
          <w:rFonts w:ascii="仿宋" w:eastAsia="仿宋" w:hAnsi="仿宋" w:cs="Times New Roman" w:hint="eastAsia"/>
          <w:color w:val="000000" w:themeColor="text1"/>
          <w:sz w:val="32"/>
          <w:szCs w:val="32"/>
        </w:rPr>
        <w:t>万元，其中，一般公务用车1辆，原价</w:t>
      </w:r>
      <w:r w:rsidR="00AE60F9">
        <w:rPr>
          <w:rFonts w:ascii="仿宋" w:eastAsia="仿宋" w:hAnsi="仿宋" w:cs="Times New Roman" w:hint="eastAsia"/>
          <w:color w:val="000000" w:themeColor="text1"/>
          <w:sz w:val="32"/>
          <w:szCs w:val="32"/>
        </w:rPr>
        <w:t>13.48</w:t>
      </w:r>
      <w:r w:rsidRPr="006552BF">
        <w:rPr>
          <w:rFonts w:ascii="仿宋" w:eastAsia="仿宋" w:hAnsi="仿宋" w:cs="Times New Roman" w:hint="eastAsia"/>
          <w:color w:val="000000" w:themeColor="text1"/>
          <w:sz w:val="32"/>
          <w:szCs w:val="32"/>
        </w:rPr>
        <w:t>万元</w:t>
      </w:r>
      <w:r w:rsidR="00AE60F9">
        <w:rPr>
          <w:rFonts w:ascii="仿宋" w:eastAsia="仿宋" w:hAnsi="仿宋" w:cs="Times New Roman" w:hint="eastAsia"/>
          <w:color w:val="000000" w:themeColor="text1"/>
          <w:sz w:val="32"/>
          <w:szCs w:val="32"/>
        </w:rPr>
        <w:t>，其他办公设备资产2万元</w:t>
      </w:r>
      <w:r w:rsidRPr="006552BF">
        <w:rPr>
          <w:rFonts w:ascii="仿宋" w:eastAsia="仿宋" w:hAnsi="仿宋" w:cs="Times New Roman" w:hint="eastAsia"/>
          <w:color w:val="000000" w:themeColor="text1"/>
          <w:sz w:val="32"/>
          <w:szCs w:val="32"/>
        </w:rPr>
        <w:t>。</w:t>
      </w:r>
    </w:p>
    <w:p w:rsidR="006552BF" w:rsidRDefault="006552BF" w:rsidP="006552BF">
      <w:pPr>
        <w:widowControl/>
        <w:spacing w:line="560" w:lineRule="exact"/>
        <w:ind w:firstLineChars="200" w:firstLine="640"/>
        <w:jc w:val="left"/>
        <w:rPr>
          <w:rFonts w:ascii="楷体_GB2312" w:eastAsia="楷体_GB2312"/>
          <w:b/>
          <w:sz w:val="32"/>
          <w:szCs w:val="32"/>
        </w:rPr>
      </w:pPr>
      <w:r>
        <w:rPr>
          <w:rFonts w:ascii="楷体_GB2312" w:eastAsia="楷体_GB2312" w:cs="Times New Roman"/>
          <w:b/>
          <w:sz w:val="32"/>
          <w:szCs w:val="32"/>
        </w:rPr>
        <w:t>（</w:t>
      </w:r>
      <w:r>
        <w:rPr>
          <w:rFonts w:ascii="楷体_GB2312" w:eastAsia="楷体_GB2312" w:cs="Times New Roman" w:hint="eastAsia"/>
          <w:b/>
          <w:sz w:val="32"/>
          <w:szCs w:val="32"/>
        </w:rPr>
        <w:t>九</w:t>
      </w:r>
      <w:r>
        <w:rPr>
          <w:rFonts w:ascii="楷体_GB2312" w:eastAsia="楷体_GB2312" w:cs="Times New Roman"/>
          <w:b/>
          <w:sz w:val="32"/>
          <w:szCs w:val="32"/>
        </w:rPr>
        <w:t>）其他需要说明的情况</w:t>
      </w:r>
    </w:p>
    <w:p w:rsidR="006552BF" w:rsidRDefault="006552BF" w:rsidP="006552BF">
      <w:pPr>
        <w:spacing w:line="560" w:lineRule="exact"/>
        <w:ind w:firstLineChars="200" w:firstLine="640"/>
        <w:rPr>
          <w:rFonts w:eastAsia="仿宋_GB2312"/>
          <w:color w:val="3E3E3E"/>
          <w:sz w:val="32"/>
          <w:szCs w:val="32"/>
        </w:rPr>
      </w:pPr>
      <w:r>
        <w:rPr>
          <w:rFonts w:eastAsia="仿宋_GB2312" w:cs="Times New Roman" w:hint="eastAsia"/>
          <w:color w:val="3E3E3E"/>
          <w:sz w:val="32"/>
          <w:szCs w:val="32"/>
        </w:rPr>
        <w:t>无其他需要说明的情况。</w:t>
      </w:r>
    </w:p>
    <w:p w:rsidR="006552BF" w:rsidRDefault="006552BF" w:rsidP="006552BF">
      <w:pPr>
        <w:spacing w:line="560" w:lineRule="exact"/>
        <w:ind w:firstLine="640"/>
        <w:rPr>
          <w:rFonts w:eastAsia="仿宋_GB2312"/>
          <w:color w:val="3E3E3E"/>
          <w:sz w:val="32"/>
          <w:szCs w:val="32"/>
        </w:rPr>
      </w:pPr>
      <w:r>
        <w:rPr>
          <w:rFonts w:ascii="黑体" w:eastAsia="黑体" w:hAnsi="黑体" w:cs="Times New Roman" w:hint="eastAsia"/>
          <w:sz w:val="32"/>
          <w:szCs w:val="32"/>
        </w:rPr>
        <w:lastRenderedPageBreak/>
        <w:t>四、名词解释</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（一）财政拨款收入：本年度从本级财政部门取得的财政拨款，包括一般公共预算财政拨款和政府性基金预算财政拨款。</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（二）事业收入：指事业单位开展专业业务活动及辅助活动所取得的收入。</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（三）其他收入：指除上述“财政拨款收入”、“事业收入”、“经营收入”等以外的收入。</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（五）年初结转和结余：指以前年度尚未完成、结转到本年仍按原规定用途继续使用的资金，或项目已完成等产生的结余资金。</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（六）结余分配：指事业单位按照事业单位会计制度的规定从非财政补助结余中分配的事业基金和职工福利基金等。</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（七）年末结转和结余：指单位按有关规定结转到下年或以后年度继续使用的资金，或项目已完成等产生的结余资金。</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（八）基本支出：填列单位为保障机构正常运转、完成日常工作任务而发生的各项支出。</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（九）项目支出：填列单位为完成特定的行政工作任务或事业发展目标，在基本支出之外发生的</w:t>
      </w:r>
      <w:r w:rsidRPr="006552BF">
        <w:rPr>
          <w:rFonts w:eastAsia="仿宋_GB2312" w:cs="Times New Roman" w:hint="eastAsia"/>
          <w:color w:val="000000" w:themeColor="text1"/>
          <w:sz w:val="32"/>
          <w:szCs w:val="32"/>
        </w:rPr>
        <w:lastRenderedPageBreak/>
        <w:t>各项支出。</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（十三）其他交通费用：填列单位除公务用车运行维护费以外的其他交通费用。如飞机、船舶等的燃料费、维修费、过桥过路费、保险费、出租车费用、公务交通补贴等。</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（十四）公务用车购置：填列单位公务用车车辆购置支出（含车辆购置税）。</w:t>
      </w:r>
    </w:p>
    <w:p w:rsidR="006552BF" w:rsidRPr="006552BF" w:rsidRDefault="006552BF" w:rsidP="006552BF">
      <w:pPr>
        <w:spacing w:line="560" w:lineRule="exact"/>
        <w:ind w:firstLineChars="200" w:firstLine="640"/>
        <w:rPr>
          <w:rFonts w:eastAsia="仿宋_GB2312"/>
          <w:color w:val="000000" w:themeColor="text1"/>
          <w:sz w:val="32"/>
          <w:szCs w:val="32"/>
        </w:rPr>
      </w:pPr>
      <w:r w:rsidRPr="006552BF">
        <w:rPr>
          <w:rFonts w:eastAsia="仿宋_GB2312" w:cs="Times New Roman" w:hint="eastAsia"/>
          <w:color w:val="000000" w:themeColor="text1"/>
          <w:sz w:val="32"/>
          <w:szCs w:val="32"/>
        </w:rPr>
        <w:t>（十五）其他交通工具购置：填列单位除公务用车外的其他各类交通工具（如船舶、飞机）购置支出（含车辆购置税）。</w:t>
      </w:r>
    </w:p>
    <w:p w:rsidR="0048020F" w:rsidRPr="006552BF" w:rsidRDefault="006552BF" w:rsidP="006552BF">
      <w:pPr>
        <w:spacing w:line="560" w:lineRule="exact"/>
        <w:ind w:firstLineChars="200" w:firstLine="640"/>
        <w:rPr>
          <w:rFonts w:ascii="仿宋" w:eastAsia="仿宋" w:hAnsi="仿宋"/>
          <w:color w:val="000000" w:themeColor="text1"/>
          <w:sz w:val="32"/>
          <w:szCs w:val="32"/>
        </w:rPr>
        <w:sectPr w:rsidR="0048020F" w:rsidRPr="006552BF" w:rsidSect="00F71307">
          <w:pgSz w:w="16839" w:h="11907" w:orient="landscape"/>
          <w:pgMar w:top="1020" w:right="1361" w:bottom="1020" w:left="1361" w:header="851" w:footer="992" w:gutter="0"/>
          <w:cols w:space="425"/>
          <w:docGrid w:type="lines" w:linePitch="312"/>
        </w:sectPr>
      </w:pPr>
      <w:r w:rsidRPr="006552BF">
        <w:rPr>
          <w:rFonts w:eastAsia="仿宋_GB2312" w:cs="Times New Roman" w:hint="eastAsia"/>
          <w:color w:val="000000" w:themeColor="text1"/>
          <w:sz w:val="32"/>
          <w:szCs w:val="32"/>
        </w:rPr>
        <w:lastRenderedPageBreak/>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bookmarkEnd w:id="0"/>
    <w:p w:rsidR="0048020F" w:rsidRPr="00AA71ED" w:rsidRDefault="0048020F" w:rsidP="003D2C1B">
      <w:pPr>
        <w:rPr>
          <w:rFonts w:ascii="仿宋" w:eastAsia="仿宋" w:hAnsi="仿宋" w:cs="Times New Roman"/>
          <w:sz w:val="32"/>
          <w:szCs w:val="32"/>
        </w:rPr>
      </w:pPr>
    </w:p>
    <w:sectPr w:rsidR="0048020F"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2E" w:rsidRDefault="00877E2E" w:rsidP="008C2BAF">
      <w:r>
        <w:separator/>
      </w:r>
    </w:p>
  </w:endnote>
  <w:endnote w:type="continuationSeparator" w:id="0">
    <w:p w:rsidR="00877E2E" w:rsidRDefault="00877E2E"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charset w:val="86"/>
    <w:family w:val="script"/>
    <w:pitch w:val="fixed"/>
    <w:sig w:usb0="00000000" w:usb1="080E0000" w:usb2="00000010" w:usb3="00000000" w:csb0="00040000" w:csb1="00000000"/>
  </w:font>
  <w:font w:name="方正书宋_GBK">
    <w:altName w:val="hakuyoxingshu7000"/>
    <w:charset w:val="86"/>
    <w:family w:val="script"/>
    <w:pitch w:val="fixed"/>
    <w:sig w:usb0="00000000"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2E" w:rsidRDefault="00877E2E" w:rsidP="008C2BAF">
      <w:r>
        <w:separator/>
      </w:r>
    </w:p>
  </w:footnote>
  <w:footnote w:type="continuationSeparator" w:id="0">
    <w:p w:rsidR="00877E2E" w:rsidRDefault="00877E2E"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203A7"/>
    <w:rsid w:val="00037AF6"/>
    <w:rsid w:val="00045A61"/>
    <w:rsid w:val="00062DD6"/>
    <w:rsid w:val="000650DE"/>
    <w:rsid w:val="000751CD"/>
    <w:rsid w:val="00075D5F"/>
    <w:rsid w:val="00093D80"/>
    <w:rsid w:val="000A63E7"/>
    <w:rsid w:val="000B04B5"/>
    <w:rsid w:val="000C3A19"/>
    <w:rsid w:val="001245BB"/>
    <w:rsid w:val="00125FBB"/>
    <w:rsid w:val="00164455"/>
    <w:rsid w:val="0018479D"/>
    <w:rsid w:val="00203698"/>
    <w:rsid w:val="002119AA"/>
    <w:rsid w:val="00223272"/>
    <w:rsid w:val="00241FD4"/>
    <w:rsid w:val="0024465C"/>
    <w:rsid w:val="00246DD9"/>
    <w:rsid w:val="002508C4"/>
    <w:rsid w:val="00251B12"/>
    <w:rsid w:val="00261354"/>
    <w:rsid w:val="002645FB"/>
    <w:rsid w:val="00296113"/>
    <w:rsid w:val="002C200A"/>
    <w:rsid w:val="002C2208"/>
    <w:rsid w:val="002D1476"/>
    <w:rsid w:val="002D4AF7"/>
    <w:rsid w:val="002F3E58"/>
    <w:rsid w:val="002F5324"/>
    <w:rsid w:val="0030542C"/>
    <w:rsid w:val="00311B7A"/>
    <w:rsid w:val="00332ABC"/>
    <w:rsid w:val="003A094E"/>
    <w:rsid w:val="003A13BB"/>
    <w:rsid w:val="003D2C1B"/>
    <w:rsid w:val="003E1A7F"/>
    <w:rsid w:val="003F49E7"/>
    <w:rsid w:val="00451871"/>
    <w:rsid w:val="0046769B"/>
    <w:rsid w:val="00472923"/>
    <w:rsid w:val="0048020F"/>
    <w:rsid w:val="00497870"/>
    <w:rsid w:val="004B37C2"/>
    <w:rsid w:val="004E3066"/>
    <w:rsid w:val="004E74CD"/>
    <w:rsid w:val="004F6123"/>
    <w:rsid w:val="00520CEC"/>
    <w:rsid w:val="005632E5"/>
    <w:rsid w:val="00573562"/>
    <w:rsid w:val="00595C93"/>
    <w:rsid w:val="005C1AEB"/>
    <w:rsid w:val="005D7B26"/>
    <w:rsid w:val="006009A1"/>
    <w:rsid w:val="00614A29"/>
    <w:rsid w:val="00640150"/>
    <w:rsid w:val="00646686"/>
    <w:rsid w:val="006552BF"/>
    <w:rsid w:val="006628CC"/>
    <w:rsid w:val="006725B4"/>
    <w:rsid w:val="006C4BCE"/>
    <w:rsid w:val="006D6C8A"/>
    <w:rsid w:val="006E4D92"/>
    <w:rsid w:val="006E7755"/>
    <w:rsid w:val="007323EB"/>
    <w:rsid w:val="0075117A"/>
    <w:rsid w:val="0075393C"/>
    <w:rsid w:val="00754257"/>
    <w:rsid w:val="00757221"/>
    <w:rsid w:val="00776C08"/>
    <w:rsid w:val="007A1524"/>
    <w:rsid w:val="007B2D87"/>
    <w:rsid w:val="007B4EE0"/>
    <w:rsid w:val="007E1DA8"/>
    <w:rsid w:val="007F1DCF"/>
    <w:rsid w:val="007F6C26"/>
    <w:rsid w:val="007F7075"/>
    <w:rsid w:val="008146D0"/>
    <w:rsid w:val="008334AE"/>
    <w:rsid w:val="00836FED"/>
    <w:rsid w:val="0083719B"/>
    <w:rsid w:val="008403F5"/>
    <w:rsid w:val="00845CD2"/>
    <w:rsid w:val="008502D8"/>
    <w:rsid w:val="00852B0D"/>
    <w:rsid w:val="00877E2E"/>
    <w:rsid w:val="00881692"/>
    <w:rsid w:val="008B3CC5"/>
    <w:rsid w:val="008C2BAF"/>
    <w:rsid w:val="008E4261"/>
    <w:rsid w:val="008F4662"/>
    <w:rsid w:val="00905D08"/>
    <w:rsid w:val="00925753"/>
    <w:rsid w:val="00927B0B"/>
    <w:rsid w:val="009668BA"/>
    <w:rsid w:val="00966C5C"/>
    <w:rsid w:val="00967BB9"/>
    <w:rsid w:val="00973104"/>
    <w:rsid w:val="009C119B"/>
    <w:rsid w:val="00A34D76"/>
    <w:rsid w:val="00A71168"/>
    <w:rsid w:val="00A72D2E"/>
    <w:rsid w:val="00A911E7"/>
    <w:rsid w:val="00A939D9"/>
    <w:rsid w:val="00AA71ED"/>
    <w:rsid w:val="00AE60F9"/>
    <w:rsid w:val="00AF6B63"/>
    <w:rsid w:val="00B043C4"/>
    <w:rsid w:val="00B11B32"/>
    <w:rsid w:val="00B137C2"/>
    <w:rsid w:val="00B20712"/>
    <w:rsid w:val="00B31765"/>
    <w:rsid w:val="00B43238"/>
    <w:rsid w:val="00B75216"/>
    <w:rsid w:val="00B8709C"/>
    <w:rsid w:val="00B91D52"/>
    <w:rsid w:val="00BA1ACD"/>
    <w:rsid w:val="00BA408B"/>
    <w:rsid w:val="00BB553D"/>
    <w:rsid w:val="00C24BF5"/>
    <w:rsid w:val="00C36BA5"/>
    <w:rsid w:val="00C8569A"/>
    <w:rsid w:val="00C87954"/>
    <w:rsid w:val="00C9305D"/>
    <w:rsid w:val="00CA7176"/>
    <w:rsid w:val="00CD2773"/>
    <w:rsid w:val="00CE143B"/>
    <w:rsid w:val="00CE403B"/>
    <w:rsid w:val="00D361CD"/>
    <w:rsid w:val="00D80DB8"/>
    <w:rsid w:val="00D97F3E"/>
    <w:rsid w:val="00DA2FDB"/>
    <w:rsid w:val="00E167C7"/>
    <w:rsid w:val="00E16AA8"/>
    <w:rsid w:val="00E33DAD"/>
    <w:rsid w:val="00E46584"/>
    <w:rsid w:val="00E535E2"/>
    <w:rsid w:val="00E84FEB"/>
    <w:rsid w:val="00EC47F6"/>
    <w:rsid w:val="00ED4B7F"/>
    <w:rsid w:val="00EE1B43"/>
    <w:rsid w:val="00EE7D81"/>
    <w:rsid w:val="00F153EF"/>
    <w:rsid w:val="00F20134"/>
    <w:rsid w:val="00F50E15"/>
    <w:rsid w:val="00F61055"/>
    <w:rsid w:val="00F66032"/>
    <w:rsid w:val="00F71307"/>
    <w:rsid w:val="00F958C2"/>
    <w:rsid w:val="00FB4CD3"/>
    <w:rsid w:val="00FC6357"/>
    <w:rsid w:val="00FD2081"/>
    <w:rsid w:val="00FE3D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cs="Times New Roman"/>
      <w:szCs w:val="24"/>
    </w:rPr>
  </w:style>
  <w:style w:type="paragraph" w:styleId="2">
    <w:name w:val="toc 2"/>
    <w:basedOn w:val="a"/>
    <w:next w:val="a"/>
    <w:autoRedefine/>
    <w:uiPriority w:val="99"/>
    <w:rsid w:val="001245BB"/>
    <w:pPr>
      <w:ind w:leftChars="200" w:left="420"/>
    </w:pPr>
    <w:rPr>
      <w:rFonts w:ascii="Times New Roman"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List Paragraph"/>
    <w:basedOn w:val="a"/>
    <w:uiPriority w:val="99"/>
    <w:qFormat/>
    <w:rsid w:val="00E16AA8"/>
    <w:pPr>
      <w:ind w:firstLineChars="200" w:firstLine="420"/>
    </w:pPr>
  </w:style>
</w:styles>
</file>

<file path=word/webSettings.xml><?xml version="1.0" encoding="utf-8"?>
<w:webSettings xmlns:r="http://schemas.openxmlformats.org/officeDocument/2006/relationships" xmlns:w="http://schemas.openxmlformats.org/wordprocessingml/2006/main">
  <w:divs>
    <w:div w:id="455174070">
      <w:marLeft w:val="0"/>
      <w:marRight w:val="0"/>
      <w:marTop w:val="0"/>
      <w:marBottom w:val="0"/>
      <w:divBdr>
        <w:top w:val="none" w:sz="0" w:space="0" w:color="auto"/>
        <w:left w:val="none" w:sz="0" w:space="0" w:color="auto"/>
        <w:bottom w:val="none" w:sz="0" w:space="0" w:color="auto"/>
        <w:right w:val="none" w:sz="0" w:space="0" w:color="auto"/>
      </w:divBdr>
    </w:div>
    <w:div w:id="455174071">
      <w:marLeft w:val="0"/>
      <w:marRight w:val="0"/>
      <w:marTop w:val="0"/>
      <w:marBottom w:val="0"/>
      <w:divBdr>
        <w:top w:val="none" w:sz="0" w:space="0" w:color="auto"/>
        <w:left w:val="none" w:sz="0" w:space="0" w:color="auto"/>
        <w:bottom w:val="none" w:sz="0" w:space="0" w:color="auto"/>
        <w:right w:val="none" w:sz="0" w:space="0" w:color="auto"/>
      </w:divBdr>
    </w:div>
    <w:div w:id="455174072">
      <w:marLeft w:val="0"/>
      <w:marRight w:val="0"/>
      <w:marTop w:val="0"/>
      <w:marBottom w:val="0"/>
      <w:divBdr>
        <w:top w:val="none" w:sz="0" w:space="0" w:color="auto"/>
        <w:left w:val="none" w:sz="0" w:space="0" w:color="auto"/>
        <w:bottom w:val="none" w:sz="0" w:space="0" w:color="auto"/>
        <w:right w:val="none" w:sz="0" w:space="0" w:color="auto"/>
      </w:divBdr>
    </w:div>
    <w:div w:id="455174073">
      <w:marLeft w:val="0"/>
      <w:marRight w:val="0"/>
      <w:marTop w:val="0"/>
      <w:marBottom w:val="0"/>
      <w:divBdr>
        <w:top w:val="none" w:sz="0" w:space="0" w:color="auto"/>
        <w:left w:val="none" w:sz="0" w:space="0" w:color="auto"/>
        <w:bottom w:val="none" w:sz="0" w:space="0" w:color="auto"/>
        <w:right w:val="none" w:sz="0" w:space="0" w:color="auto"/>
      </w:divBdr>
    </w:div>
    <w:div w:id="455174074">
      <w:marLeft w:val="0"/>
      <w:marRight w:val="0"/>
      <w:marTop w:val="0"/>
      <w:marBottom w:val="0"/>
      <w:divBdr>
        <w:top w:val="none" w:sz="0" w:space="0" w:color="auto"/>
        <w:left w:val="none" w:sz="0" w:space="0" w:color="auto"/>
        <w:bottom w:val="none" w:sz="0" w:space="0" w:color="auto"/>
        <w:right w:val="none" w:sz="0" w:space="0" w:color="auto"/>
      </w:divBdr>
    </w:div>
    <w:div w:id="455174075">
      <w:marLeft w:val="0"/>
      <w:marRight w:val="0"/>
      <w:marTop w:val="0"/>
      <w:marBottom w:val="0"/>
      <w:divBdr>
        <w:top w:val="none" w:sz="0" w:space="0" w:color="auto"/>
        <w:left w:val="none" w:sz="0" w:space="0" w:color="auto"/>
        <w:bottom w:val="none" w:sz="0" w:space="0" w:color="auto"/>
        <w:right w:val="none" w:sz="0" w:space="0" w:color="auto"/>
      </w:divBdr>
    </w:div>
    <w:div w:id="455174076">
      <w:marLeft w:val="0"/>
      <w:marRight w:val="0"/>
      <w:marTop w:val="0"/>
      <w:marBottom w:val="0"/>
      <w:divBdr>
        <w:top w:val="none" w:sz="0" w:space="0" w:color="auto"/>
        <w:left w:val="none" w:sz="0" w:space="0" w:color="auto"/>
        <w:bottom w:val="none" w:sz="0" w:space="0" w:color="auto"/>
        <w:right w:val="none" w:sz="0" w:space="0" w:color="auto"/>
      </w:divBdr>
    </w:div>
    <w:div w:id="455174077">
      <w:marLeft w:val="0"/>
      <w:marRight w:val="0"/>
      <w:marTop w:val="0"/>
      <w:marBottom w:val="0"/>
      <w:divBdr>
        <w:top w:val="none" w:sz="0" w:space="0" w:color="auto"/>
        <w:left w:val="none" w:sz="0" w:space="0" w:color="auto"/>
        <w:bottom w:val="none" w:sz="0" w:space="0" w:color="auto"/>
        <w:right w:val="none" w:sz="0" w:space="0" w:color="auto"/>
      </w:divBdr>
    </w:div>
    <w:div w:id="455174078">
      <w:marLeft w:val="0"/>
      <w:marRight w:val="0"/>
      <w:marTop w:val="0"/>
      <w:marBottom w:val="0"/>
      <w:divBdr>
        <w:top w:val="none" w:sz="0" w:space="0" w:color="auto"/>
        <w:left w:val="none" w:sz="0" w:space="0" w:color="auto"/>
        <w:bottom w:val="none" w:sz="0" w:space="0" w:color="auto"/>
        <w:right w:val="none" w:sz="0" w:space="0" w:color="auto"/>
      </w:divBdr>
    </w:div>
    <w:div w:id="455174079">
      <w:marLeft w:val="0"/>
      <w:marRight w:val="0"/>
      <w:marTop w:val="0"/>
      <w:marBottom w:val="0"/>
      <w:divBdr>
        <w:top w:val="none" w:sz="0" w:space="0" w:color="auto"/>
        <w:left w:val="none" w:sz="0" w:space="0" w:color="auto"/>
        <w:bottom w:val="none" w:sz="0" w:space="0" w:color="auto"/>
        <w:right w:val="none" w:sz="0" w:space="0" w:color="auto"/>
      </w:divBdr>
    </w:div>
    <w:div w:id="455174080">
      <w:marLeft w:val="0"/>
      <w:marRight w:val="0"/>
      <w:marTop w:val="0"/>
      <w:marBottom w:val="0"/>
      <w:divBdr>
        <w:top w:val="none" w:sz="0" w:space="0" w:color="auto"/>
        <w:left w:val="none" w:sz="0" w:space="0" w:color="auto"/>
        <w:bottom w:val="none" w:sz="0" w:space="0" w:color="auto"/>
        <w:right w:val="none" w:sz="0" w:space="0" w:color="auto"/>
      </w:divBdr>
    </w:div>
    <w:div w:id="45517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304574</TotalTime>
  <Pages>10</Pages>
  <Words>3885</Words>
  <Characters>481</Characters>
  <Application>Microsoft Office Word</Application>
  <DocSecurity>0</DocSecurity>
  <Lines>4</Lines>
  <Paragraphs>8</Paragraphs>
  <ScaleCrop>false</ScaleCrop>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121</cp:revision>
  <cp:lastPrinted>2017-04-04T09:45:00Z</cp:lastPrinted>
  <dcterms:created xsi:type="dcterms:W3CDTF">2017-01-13T03:22:00Z</dcterms:created>
  <dcterms:modified xsi:type="dcterms:W3CDTF">2017-11-02T01:29:00Z</dcterms:modified>
</cp:coreProperties>
</file>